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16" w:rsidRPr="00BB7516" w:rsidRDefault="00BB7516" w:rsidP="00BB7516">
      <w:pPr>
        <w:jc w:val="center"/>
        <w:rPr>
          <w:b/>
          <w:bCs/>
          <w:sz w:val="23"/>
          <w:szCs w:val="23"/>
        </w:rPr>
      </w:pPr>
      <w:r w:rsidRPr="00BB7516">
        <w:rPr>
          <w:b/>
          <w:bCs/>
          <w:sz w:val="23"/>
          <w:szCs w:val="23"/>
        </w:rPr>
        <w:t xml:space="preserve">Сообщение о существенном </w:t>
      </w:r>
      <w:proofErr w:type="gramStart"/>
      <w:r w:rsidRPr="00BB7516">
        <w:rPr>
          <w:b/>
          <w:bCs/>
          <w:sz w:val="23"/>
          <w:szCs w:val="23"/>
        </w:rPr>
        <w:t>факте</w:t>
      </w:r>
      <w:proofErr w:type="gramEnd"/>
      <w:r w:rsidRPr="00BB7516">
        <w:rPr>
          <w:b/>
          <w:bCs/>
          <w:sz w:val="23"/>
          <w:szCs w:val="23"/>
        </w:rPr>
        <w:t xml:space="preserve"> о раскрытии эмитентом консолидированной финансовой отчетности, а также о представлении аудиторского заключения, подготовленного в отношении такой отчетности</w:t>
      </w:r>
    </w:p>
    <w:p w:rsidR="00BB7516" w:rsidRPr="00BB7516" w:rsidRDefault="00BB7516" w:rsidP="00BB7516">
      <w:pPr>
        <w:jc w:val="center"/>
        <w:rPr>
          <w:b/>
          <w:sz w:val="22"/>
          <w:szCs w:val="22"/>
        </w:rPr>
      </w:pPr>
    </w:p>
    <w:tbl>
      <w:tblPr>
        <w:tblStyle w:val="a4"/>
        <w:tblW w:w="9648" w:type="dxa"/>
        <w:jc w:val="center"/>
        <w:tblLook w:val="00A0" w:firstRow="1" w:lastRow="0" w:firstColumn="1" w:lastColumn="0" w:noHBand="0" w:noVBand="0"/>
      </w:tblPr>
      <w:tblGrid>
        <w:gridCol w:w="9648"/>
      </w:tblGrid>
      <w:tr w:rsidR="00BB7516" w:rsidRPr="00BB7516" w:rsidTr="009A3A6C">
        <w:trPr>
          <w:trHeight w:val="345"/>
          <w:jc w:val="center"/>
        </w:trPr>
        <w:tc>
          <w:tcPr>
            <w:tcW w:w="9648" w:type="dxa"/>
          </w:tcPr>
          <w:p w:rsidR="00BB7516" w:rsidRPr="00BB7516" w:rsidRDefault="00BB7516" w:rsidP="009A3A6C">
            <w:pPr>
              <w:pStyle w:val="prilozhenie"/>
              <w:ind w:firstLine="0"/>
              <w:jc w:val="center"/>
              <w:rPr>
                <w:sz w:val="22"/>
                <w:szCs w:val="22"/>
              </w:rPr>
            </w:pPr>
            <w:r w:rsidRPr="00BB7516">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BB7516" w:rsidRPr="00BB7516" w:rsidTr="009A3A6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 xml:space="preserve">1.1. Полное фирменное наименование эмитента </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Акционерное общество «</w:t>
            </w:r>
            <w:proofErr w:type="spellStart"/>
            <w:r w:rsidRPr="00BB7516">
              <w:rPr>
                <w:b/>
                <w:i/>
                <w:sz w:val="22"/>
                <w:szCs w:val="22"/>
              </w:rPr>
              <w:t>Трежери</w:t>
            </w:r>
            <w:proofErr w:type="spellEnd"/>
            <w:r w:rsidRPr="00BB7516">
              <w:rPr>
                <w:b/>
                <w:i/>
                <w:sz w:val="22"/>
                <w:szCs w:val="22"/>
              </w:rPr>
              <w:t xml:space="preserve"> Инвест»</w:t>
            </w:r>
          </w:p>
        </w:tc>
      </w:tr>
      <w:tr w:rsidR="00BB7516" w:rsidRPr="00BB7516" w:rsidTr="009A3A6C">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1.2. Сокращенное фирменное наименование эмитента</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АО «</w:t>
            </w:r>
            <w:proofErr w:type="spellStart"/>
            <w:r w:rsidRPr="00BB7516">
              <w:rPr>
                <w:b/>
                <w:i/>
                <w:sz w:val="22"/>
                <w:szCs w:val="22"/>
              </w:rPr>
              <w:t>Трежери</w:t>
            </w:r>
            <w:proofErr w:type="spellEnd"/>
            <w:r w:rsidRPr="00BB7516">
              <w:rPr>
                <w:b/>
                <w:i/>
                <w:sz w:val="22"/>
                <w:szCs w:val="22"/>
              </w:rPr>
              <w:t xml:space="preserve"> Инвест»</w:t>
            </w:r>
          </w:p>
        </w:tc>
      </w:tr>
      <w:tr w:rsidR="00BB7516" w:rsidRPr="00BB7516" w:rsidTr="009A3A6C">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1.3. Место нахождения эмитента</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121151, г. Москва, наб. Тараса Шевченко, д. 23А, этаж 19, помещение I, комната 13</w:t>
            </w:r>
          </w:p>
        </w:tc>
      </w:tr>
      <w:tr w:rsidR="00BB7516" w:rsidRPr="00BB7516" w:rsidTr="009A3A6C">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1.4. ОГРН эмитента</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1207700290137</w:t>
            </w:r>
          </w:p>
        </w:tc>
      </w:tr>
      <w:tr w:rsidR="00BB7516" w:rsidRPr="00BB7516" w:rsidTr="009A3A6C">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1.5. ИНН эмитента</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7730258615</w:t>
            </w:r>
          </w:p>
        </w:tc>
      </w:tr>
      <w:tr w:rsidR="00BB7516" w:rsidRPr="00BB7516" w:rsidTr="009A3A6C">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1.6. Уникальный код эмитента, присвоенный регистрирующим органом</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ind w:left="57"/>
              <w:rPr>
                <w:b/>
                <w:i/>
                <w:sz w:val="22"/>
                <w:szCs w:val="22"/>
              </w:rPr>
            </w:pPr>
            <w:r w:rsidRPr="00BB7516">
              <w:rPr>
                <w:b/>
                <w:i/>
                <w:sz w:val="22"/>
                <w:szCs w:val="22"/>
              </w:rPr>
              <w:t>16675-А</w:t>
            </w:r>
          </w:p>
        </w:tc>
      </w:tr>
      <w:tr w:rsidR="00BB7516" w:rsidRPr="00BB7516" w:rsidTr="009A3A6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1.7.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spacing w:line="276" w:lineRule="auto"/>
              <w:rPr>
                <w:b/>
                <w:i/>
                <w:sz w:val="22"/>
                <w:szCs w:val="22"/>
              </w:rPr>
            </w:pPr>
            <w:hyperlink r:id="rId5" w:history="1">
              <w:r w:rsidRPr="00BB7516">
                <w:rPr>
                  <w:rStyle w:val="a3"/>
                  <w:b/>
                  <w:i/>
                  <w:sz w:val="22"/>
                  <w:szCs w:val="22"/>
                </w:rPr>
                <w:t>http://www.e-disclosure.ru/portal/company.aspx?id=38255</w:t>
              </w:r>
            </w:hyperlink>
            <w:r w:rsidRPr="00BB7516">
              <w:rPr>
                <w:b/>
                <w:i/>
                <w:sz w:val="22"/>
                <w:szCs w:val="22"/>
              </w:rPr>
              <w:t>;</w:t>
            </w:r>
          </w:p>
          <w:p w:rsidR="00BB7516" w:rsidRPr="00BB7516" w:rsidRDefault="00BB7516" w:rsidP="009A3A6C">
            <w:pPr>
              <w:spacing w:line="276" w:lineRule="auto"/>
              <w:rPr>
                <w:b/>
                <w:i/>
                <w:sz w:val="22"/>
                <w:szCs w:val="22"/>
              </w:rPr>
            </w:pPr>
            <w:hyperlink r:id="rId6" w:history="1">
              <w:r w:rsidRPr="00BB7516">
                <w:rPr>
                  <w:rStyle w:val="a3"/>
                  <w:b/>
                  <w:i/>
                  <w:sz w:val="22"/>
                  <w:szCs w:val="22"/>
                </w:rPr>
                <w:t>http://treasuryinvest.ru/</w:t>
              </w:r>
            </w:hyperlink>
            <w:r w:rsidRPr="00BB7516">
              <w:rPr>
                <w:b/>
                <w:i/>
                <w:sz w:val="22"/>
                <w:szCs w:val="22"/>
              </w:rPr>
              <w:t xml:space="preserve"> </w:t>
            </w:r>
          </w:p>
        </w:tc>
      </w:tr>
      <w:tr w:rsidR="00BB7516" w:rsidRPr="00BB7516" w:rsidTr="009A3A6C">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rPr>
                <w:sz w:val="22"/>
                <w:szCs w:val="22"/>
              </w:rPr>
            </w:pPr>
            <w:r w:rsidRPr="00BB7516">
              <w:rPr>
                <w:sz w:val="22"/>
                <w:szCs w:val="22"/>
              </w:rPr>
              <w:t>1.8. Дата наступления события (существенного факта), о котором составлено сообщение (если применимо)</w:t>
            </w:r>
          </w:p>
        </w:tc>
        <w:tc>
          <w:tcPr>
            <w:tcW w:w="5315" w:type="dxa"/>
            <w:tcBorders>
              <w:top w:val="single" w:sz="4" w:space="0" w:color="auto"/>
              <w:left w:val="single" w:sz="4" w:space="0" w:color="auto"/>
              <w:bottom w:val="single" w:sz="4" w:space="0" w:color="auto"/>
              <w:right w:val="single" w:sz="4" w:space="0" w:color="auto"/>
            </w:tcBorders>
          </w:tcPr>
          <w:p w:rsidR="00BB7516" w:rsidRPr="00BB7516" w:rsidRDefault="00BB7516" w:rsidP="00BB7516">
            <w:pPr>
              <w:spacing w:line="276" w:lineRule="auto"/>
              <w:rPr>
                <w:rStyle w:val="a3"/>
                <w:b/>
                <w:i/>
                <w:sz w:val="22"/>
                <w:szCs w:val="22"/>
                <w:lang w:val="en-US"/>
              </w:rPr>
            </w:pPr>
            <w:r w:rsidRPr="00BB7516">
              <w:rPr>
                <w:b/>
                <w:i/>
                <w:sz w:val="22"/>
                <w:szCs w:val="22"/>
              </w:rPr>
              <w:t>30 августа</w:t>
            </w:r>
            <w:r w:rsidRPr="00BB7516">
              <w:rPr>
                <w:b/>
                <w:i/>
                <w:sz w:val="22"/>
                <w:szCs w:val="22"/>
              </w:rPr>
              <w:t xml:space="preserve"> 2021 г.</w:t>
            </w:r>
          </w:p>
        </w:tc>
      </w:tr>
    </w:tbl>
    <w:p w:rsidR="00BB7516" w:rsidRPr="00BB7516" w:rsidRDefault="00BB7516" w:rsidP="00BB7516">
      <w:pPr>
        <w:pStyle w:val="prilozhenie"/>
        <w:rPr>
          <w:sz w:val="22"/>
          <w:szCs w:val="22"/>
          <w:highlight w:val="yellow"/>
        </w:rPr>
      </w:pPr>
    </w:p>
    <w:tbl>
      <w:tblPr>
        <w:tblW w:w="0" w:type="auto"/>
        <w:tblLook w:val="00A0" w:firstRow="1" w:lastRow="0" w:firstColumn="1" w:lastColumn="0" w:noHBand="0" w:noVBand="0"/>
      </w:tblPr>
      <w:tblGrid>
        <w:gridCol w:w="9571"/>
      </w:tblGrid>
      <w:tr w:rsidR="00BB7516" w:rsidRPr="00BB7516" w:rsidTr="009A3A6C">
        <w:tc>
          <w:tcPr>
            <w:tcW w:w="0" w:type="auto"/>
            <w:tcBorders>
              <w:top w:val="single" w:sz="4" w:space="0" w:color="auto"/>
              <w:left w:val="single" w:sz="4" w:space="0" w:color="auto"/>
              <w:bottom w:val="single" w:sz="4" w:space="0" w:color="auto"/>
              <w:right w:val="single" w:sz="4" w:space="0" w:color="auto"/>
            </w:tcBorders>
          </w:tcPr>
          <w:p w:rsidR="00BB7516" w:rsidRPr="00BB7516" w:rsidRDefault="00BB7516" w:rsidP="009A3A6C">
            <w:pPr>
              <w:pStyle w:val="prilozhenie"/>
              <w:ind w:firstLine="0"/>
              <w:jc w:val="center"/>
              <w:rPr>
                <w:sz w:val="22"/>
                <w:szCs w:val="22"/>
              </w:rPr>
            </w:pPr>
            <w:r w:rsidRPr="00BB7516">
              <w:rPr>
                <w:sz w:val="22"/>
                <w:szCs w:val="22"/>
              </w:rPr>
              <w:t>2. Содержание сообщения</w:t>
            </w:r>
          </w:p>
        </w:tc>
      </w:tr>
      <w:tr w:rsidR="00BB7516" w:rsidRPr="00BB7516" w:rsidTr="009A3A6C">
        <w:tc>
          <w:tcPr>
            <w:tcW w:w="0" w:type="auto"/>
            <w:tcBorders>
              <w:top w:val="single" w:sz="4" w:space="0" w:color="auto"/>
              <w:left w:val="single" w:sz="4" w:space="0" w:color="auto"/>
              <w:bottom w:val="single" w:sz="4" w:space="0" w:color="auto"/>
              <w:right w:val="single" w:sz="4" w:space="0" w:color="auto"/>
            </w:tcBorders>
          </w:tcPr>
          <w:p w:rsidR="00BB7516" w:rsidRPr="00BB7516" w:rsidRDefault="00BB7516" w:rsidP="009A3A6C">
            <w:pPr>
              <w:autoSpaceDE w:val="0"/>
              <w:autoSpaceDN w:val="0"/>
              <w:adjustRightInd w:val="0"/>
              <w:jc w:val="both"/>
              <w:rPr>
                <w:rFonts w:eastAsiaTheme="minorHAnsi"/>
                <w:b/>
                <w:i/>
                <w:sz w:val="22"/>
                <w:szCs w:val="22"/>
              </w:rPr>
            </w:pPr>
            <w:r w:rsidRPr="00BB7516">
              <w:rPr>
                <w:rFonts w:eastAsiaTheme="minorHAnsi"/>
                <w:sz w:val="22"/>
                <w:szCs w:val="22"/>
              </w:rPr>
              <w:t xml:space="preserve">2.1. вид консолидированной финансовой отчетности эмитента (промежуточная или годовая): </w:t>
            </w:r>
            <w:r w:rsidRPr="00BB7516">
              <w:rPr>
                <w:rFonts w:eastAsiaTheme="minorHAnsi"/>
                <w:b/>
                <w:i/>
                <w:sz w:val="22"/>
                <w:szCs w:val="22"/>
              </w:rPr>
              <w:t>промежуточная</w:t>
            </w:r>
            <w:r w:rsidRPr="00BB7516">
              <w:rPr>
                <w:rFonts w:eastAsiaTheme="minorHAnsi"/>
                <w:b/>
                <w:i/>
                <w:sz w:val="22"/>
                <w:szCs w:val="22"/>
              </w:rPr>
              <w:t xml:space="preserve"> - финансовая отчетность по международным стандартам за </w:t>
            </w:r>
            <w:r w:rsidRPr="00BB7516">
              <w:rPr>
                <w:rFonts w:eastAsiaTheme="minorHAnsi"/>
                <w:b/>
                <w:i/>
                <w:sz w:val="22"/>
                <w:szCs w:val="22"/>
              </w:rPr>
              <w:t>6 месяцев 2021</w:t>
            </w:r>
            <w:r w:rsidRPr="00BB7516">
              <w:rPr>
                <w:rFonts w:eastAsiaTheme="minorHAnsi"/>
                <w:b/>
                <w:i/>
                <w:sz w:val="22"/>
                <w:szCs w:val="22"/>
              </w:rPr>
              <w:t xml:space="preserve"> г. (индивидуальная);</w:t>
            </w:r>
          </w:p>
          <w:p w:rsidR="00BB7516" w:rsidRPr="00BB7516" w:rsidRDefault="00BB7516" w:rsidP="009A3A6C">
            <w:pPr>
              <w:autoSpaceDE w:val="0"/>
              <w:autoSpaceDN w:val="0"/>
              <w:adjustRightInd w:val="0"/>
              <w:jc w:val="both"/>
              <w:rPr>
                <w:rFonts w:eastAsiaTheme="minorHAnsi"/>
                <w:sz w:val="22"/>
                <w:szCs w:val="22"/>
              </w:rPr>
            </w:pPr>
            <w:r w:rsidRPr="00BB7516">
              <w:rPr>
                <w:rFonts w:eastAsiaTheme="minorHAnsi"/>
                <w:sz w:val="22"/>
                <w:szCs w:val="22"/>
              </w:rPr>
              <w:t xml:space="preserve">2.2. отчетный период, за который составлена консолидированная финансовая отчетность эмитента: </w:t>
            </w:r>
            <w:r w:rsidRPr="00BB7516">
              <w:rPr>
                <w:rFonts w:eastAsiaTheme="minorHAnsi"/>
                <w:b/>
                <w:i/>
                <w:sz w:val="22"/>
                <w:szCs w:val="22"/>
              </w:rPr>
              <w:t>6 месяцев</w:t>
            </w:r>
            <w:r w:rsidRPr="00BB7516">
              <w:rPr>
                <w:rFonts w:eastAsiaTheme="minorHAnsi"/>
                <w:sz w:val="22"/>
                <w:szCs w:val="22"/>
              </w:rPr>
              <w:t xml:space="preserve"> </w:t>
            </w:r>
            <w:r w:rsidRPr="00BB7516">
              <w:rPr>
                <w:rFonts w:eastAsiaTheme="minorHAnsi"/>
                <w:b/>
                <w:i/>
                <w:sz w:val="22"/>
                <w:szCs w:val="22"/>
              </w:rPr>
              <w:t>202</w:t>
            </w:r>
            <w:r w:rsidRPr="00BB7516">
              <w:rPr>
                <w:rFonts w:eastAsiaTheme="minorHAnsi"/>
                <w:b/>
                <w:i/>
                <w:sz w:val="22"/>
                <w:szCs w:val="22"/>
              </w:rPr>
              <w:t>1</w:t>
            </w:r>
            <w:r>
              <w:rPr>
                <w:rFonts w:eastAsiaTheme="minorHAnsi"/>
                <w:b/>
                <w:i/>
                <w:sz w:val="22"/>
                <w:szCs w:val="22"/>
              </w:rPr>
              <w:t xml:space="preserve"> г.</w:t>
            </w:r>
            <w:r w:rsidRPr="00BB7516">
              <w:rPr>
                <w:rFonts w:eastAsiaTheme="minorHAnsi"/>
                <w:b/>
                <w:i/>
                <w:sz w:val="22"/>
                <w:szCs w:val="22"/>
              </w:rPr>
              <w:t>;</w:t>
            </w:r>
          </w:p>
          <w:p w:rsidR="00BB7516" w:rsidRPr="00BB7516" w:rsidRDefault="00BB7516" w:rsidP="009A3A6C">
            <w:pPr>
              <w:autoSpaceDE w:val="0"/>
              <w:autoSpaceDN w:val="0"/>
              <w:adjustRightInd w:val="0"/>
              <w:jc w:val="both"/>
              <w:rPr>
                <w:rFonts w:eastAsiaTheme="minorHAnsi"/>
                <w:sz w:val="22"/>
                <w:szCs w:val="22"/>
              </w:rPr>
            </w:pPr>
            <w:r w:rsidRPr="00BB7516">
              <w:rPr>
                <w:rFonts w:eastAsiaTheme="minorHAnsi"/>
                <w:sz w:val="22"/>
                <w:szCs w:val="22"/>
              </w:rPr>
              <w:t xml:space="preserve">2.3. дата составления консолидированной финансовой отчетности эмитента: </w:t>
            </w:r>
            <w:r w:rsidRPr="00BB7516">
              <w:rPr>
                <w:rFonts w:eastAsiaTheme="minorHAnsi"/>
                <w:b/>
                <w:i/>
                <w:sz w:val="22"/>
                <w:szCs w:val="22"/>
              </w:rPr>
              <w:t>30</w:t>
            </w:r>
            <w:r w:rsidRPr="00BB7516">
              <w:rPr>
                <w:rFonts w:eastAsiaTheme="minorHAnsi"/>
                <w:b/>
                <w:i/>
                <w:sz w:val="22"/>
                <w:szCs w:val="22"/>
              </w:rPr>
              <w:t>.0</w:t>
            </w:r>
            <w:r w:rsidRPr="00BB7516">
              <w:rPr>
                <w:rFonts w:eastAsiaTheme="minorHAnsi"/>
                <w:b/>
                <w:i/>
                <w:sz w:val="22"/>
                <w:szCs w:val="22"/>
              </w:rPr>
              <w:t>8</w:t>
            </w:r>
            <w:r w:rsidRPr="00BB7516">
              <w:rPr>
                <w:rFonts w:eastAsiaTheme="minorHAnsi"/>
                <w:b/>
                <w:i/>
                <w:sz w:val="22"/>
                <w:szCs w:val="22"/>
              </w:rPr>
              <w:t>.2021;</w:t>
            </w:r>
          </w:p>
          <w:p w:rsidR="00BB7516" w:rsidRPr="00BB7516" w:rsidRDefault="00BB7516" w:rsidP="009A3A6C">
            <w:pPr>
              <w:autoSpaceDE w:val="0"/>
              <w:autoSpaceDN w:val="0"/>
              <w:adjustRightInd w:val="0"/>
              <w:jc w:val="both"/>
              <w:rPr>
                <w:rFonts w:eastAsiaTheme="minorHAnsi"/>
                <w:sz w:val="22"/>
                <w:szCs w:val="22"/>
              </w:rPr>
            </w:pPr>
            <w:r w:rsidRPr="00BB7516">
              <w:rPr>
                <w:rFonts w:eastAsiaTheme="minorHAnsi"/>
                <w:sz w:val="22"/>
                <w:szCs w:val="22"/>
              </w:rPr>
              <w:t xml:space="preserve">2.4. стандарты бухгалтерской (финансовой) отчетности, в соответствии с которыми составлена консолидированная финансовая отчетность (Международные стандарты финансовой отчетности (МСФО); общепринятые принципы бухгалтерского учета США (US GAAP); иные стандарты): </w:t>
            </w:r>
            <w:r w:rsidRPr="00BB7516">
              <w:rPr>
                <w:rFonts w:eastAsiaTheme="minorHAnsi"/>
                <w:b/>
                <w:i/>
                <w:sz w:val="22"/>
                <w:szCs w:val="22"/>
              </w:rPr>
              <w:t>Международные стандарты финан</w:t>
            </w:r>
            <w:bookmarkStart w:id="0" w:name="_GoBack"/>
            <w:bookmarkEnd w:id="0"/>
            <w:r w:rsidRPr="00BB7516">
              <w:rPr>
                <w:rFonts w:eastAsiaTheme="minorHAnsi"/>
                <w:b/>
                <w:i/>
                <w:sz w:val="22"/>
                <w:szCs w:val="22"/>
              </w:rPr>
              <w:t>совой отчетности (МСФО);</w:t>
            </w:r>
          </w:p>
          <w:p w:rsidR="00BB7516" w:rsidRPr="00BB7516" w:rsidRDefault="00BB7516" w:rsidP="009A3A6C">
            <w:pPr>
              <w:autoSpaceDE w:val="0"/>
              <w:autoSpaceDN w:val="0"/>
              <w:adjustRightInd w:val="0"/>
              <w:jc w:val="both"/>
              <w:rPr>
                <w:rFonts w:eastAsiaTheme="minorHAnsi"/>
                <w:sz w:val="22"/>
                <w:szCs w:val="22"/>
              </w:rPr>
            </w:pPr>
            <w:proofErr w:type="gramStart"/>
            <w:r w:rsidRPr="00BB7516">
              <w:rPr>
                <w:rFonts w:eastAsiaTheme="minorHAnsi"/>
                <w:sz w:val="22"/>
                <w:szCs w:val="22"/>
              </w:rPr>
              <w:t>2.5. сведения об аудиторе (аудиторской организации), подготовившем аудиторское заключение в отношении соответствующей консолидированной финансовой отчетности эмитента (фамилия, имя, отчество (если имеется) аудитора или полное фирменное наименование, место нахождения, ИНН (если применимо), ОГРН (если применимо) аудиторской организации) или указание на то, что в отношении соответствующей консолидированной финансовой отчетности эмитента аудит не проводился:</w:t>
            </w:r>
            <w:proofErr w:type="gramEnd"/>
            <w:r w:rsidRPr="00BB7516">
              <w:rPr>
                <w:rFonts w:eastAsiaTheme="minorHAnsi"/>
                <w:sz w:val="22"/>
                <w:szCs w:val="22"/>
              </w:rPr>
              <w:t xml:space="preserve"> </w:t>
            </w:r>
            <w:r w:rsidRPr="00BB7516">
              <w:rPr>
                <w:rFonts w:eastAsiaTheme="minorHAnsi"/>
                <w:b/>
                <w:i/>
                <w:sz w:val="22"/>
                <w:szCs w:val="22"/>
              </w:rPr>
              <w:t>Общество с ограниченной ответственностью «Аудиторская фирма «СОВА», Россия, 460000, г. Оренбург, ул. Кобозева, дом 1, ИНН 5609028675, ОГРН 1025600886849;</w:t>
            </w:r>
          </w:p>
          <w:p w:rsidR="00BB7516" w:rsidRPr="00BB7516" w:rsidRDefault="00BB7516" w:rsidP="009A3A6C">
            <w:pPr>
              <w:autoSpaceDE w:val="0"/>
              <w:autoSpaceDN w:val="0"/>
              <w:adjustRightInd w:val="0"/>
              <w:jc w:val="both"/>
              <w:rPr>
                <w:rFonts w:eastAsiaTheme="minorHAnsi"/>
                <w:sz w:val="22"/>
                <w:szCs w:val="22"/>
              </w:rPr>
            </w:pPr>
            <w:r w:rsidRPr="00BB7516">
              <w:rPr>
                <w:rFonts w:eastAsiaTheme="minorHAnsi"/>
                <w:sz w:val="22"/>
                <w:szCs w:val="22"/>
              </w:rPr>
              <w:t xml:space="preserve">2.6. адрес страницы в сети Интернет, на которой эмитентом опубликован текст соответствующей консолидированной финансовой отчетности, а также текст аудиторского заключения, подготовленного в отношении такой отчетности: </w:t>
            </w:r>
            <w:hyperlink r:id="rId7" w:history="1">
              <w:r w:rsidRPr="00BB7516">
                <w:rPr>
                  <w:rStyle w:val="a3"/>
                  <w:rFonts w:eastAsiaTheme="minorHAnsi"/>
                  <w:b/>
                  <w:i/>
                  <w:sz w:val="22"/>
                  <w:szCs w:val="22"/>
                </w:rPr>
                <w:t>http://www.e-disclosure.ru/portal/company.aspx?id=38255</w:t>
              </w:r>
            </w:hyperlink>
            <w:r w:rsidRPr="00BB7516">
              <w:rPr>
                <w:rFonts w:eastAsiaTheme="minorHAnsi"/>
                <w:b/>
                <w:i/>
                <w:sz w:val="22"/>
                <w:szCs w:val="22"/>
              </w:rPr>
              <w:t xml:space="preserve">; </w:t>
            </w:r>
            <w:hyperlink r:id="rId8" w:history="1">
              <w:r w:rsidRPr="00BB7516">
                <w:rPr>
                  <w:rStyle w:val="a3"/>
                  <w:rFonts w:eastAsiaTheme="minorHAnsi"/>
                  <w:b/>
                  <w:i/>
                  <w:sz w:val="22"/>
                  <w:szCs w:val="22"/>
                </w:rPr>
                <w:t>http://treasuryinvest.ru/</w:t>
              </w:r>
            </w:hyperlink>
            <w:r w:rsidRPr="00BB7516">
              <w:rPr>
                <w:rFonts w:eastAsiaTheme="minorHAnsi"/>
                <w:sz w:val="22"/>
                <w:szCs w:val="22"/>
              </w:rPr>
              <w:t xml:space="preserve"> </w:t>
            </w:r>
          </w:p>
          <w:p w:rsidR="00BB7516" w:rsidRPr="00BB7516" w:rsidRDefault="00BB7516" w:rsidP="009A3A6C">
            <w:pPr>
              <w:autoSpaceDE w:val="0"/>
              <w:autoSpaceDN w:val="0"/>
              <w:adjustRightInd w:val="0"/>
              <w:jc w:val="both"/>
              <w:rPr>
                <w:rFonts w:eastAsiaTheme="minorHAnsi"/>
                <w:sz w:val="22"/>
                <w:szCs w:val="22"/>
              </w:rPr>
            </w:pPr>
            <w:r w:rsidRPr="00BB7516">
              <w:rPr>
                <w:rFonts w:eastAsiaTheme="minorHAnsi"/>
                <w:sz w:val="22"/>
                <w:szCs w:val="22"/>
              </w:rPr>
              <w:t xml:space="preserve">2.7. дата составления аудиторского заключения или иного документа, составленного по результатам проверки консолидированной финансовой отчетности эмитента в соответствии со стандартами аудиторской деятельности: </w:t>
            </w:r>
            <w:r w:rsidRPr="00BB7516">
              <w:rPr>
                <w:rFonts w:eastAsiaTheme="minorHAnsi"/>
                <w:b/>
                <w:i/>
                <w:sz w:val="22"/>
                <w:szCs w:val="22"/>
              </w:rPr>
              <w:t>30</w:t>
            </w:r>
            <w:r w:rsidRPr="00BB7516">
              <w:rPr>
                <w:rFonts w:eastAsiaTheme="minorHAnsi"/>
                <w:b/>
                <w:i/>
                <w:sz w:val="22"/>
                <w:szCs w:val="22"/>
              </w:rPr>
              <w:t>.0</w:t>
            </w:r>
            <w:r w:rsidRPr="00BB7516">
              <w:rPr>
                <w:rFonts w:eastAsiaTheme="minorHAnsi"/>
                <w:b/>
                <w:i/>
                <w:sz w:val="22"/>
                <w:szCs w:val="22"/>
              </w:rPr>
              <w:t>8</w:t>
            </w:r>
            <w:r w:rsidRPr="00BB7516">
              <w:rPr>
                <w:rFonts w:eastAsiaTheme="minorHAnsi"/>
                <w:b/>
                <w:i/>
                <w:sz w:val="22"/>
                <w:szCs w:val="22"/>
              </w:rPr>
              <w:t>.2021;</w:t>
            </w:r>
          </w:p>
          <w:p w:rsidR="00BB7516" w:rsidRPr="00BB7516" w:rsidRDefault="00BB7516" w:rsidP="00BB7516">
            <w:pPr>
              <w:autoSpaceDE w:val="0"/>
              <w:autoSpaceDN w:val="0"/>
              <w:adjustRightInd w:val="0"/>
              <w:jc w:val="both"/>
              <w:rPr>
                <w:rFonts w:eastAsiaTheme="minorHAnsi"/>
                <w:sz w:val="22"/>
                <w:szCs w:val="22"/>
                <w:highlight w:val="yellow"/>
              </w:rPr>
            </w:pPr>
            <w:r w:rsidRPr="00BB7516">
              <w:rPr>
                <w:rFonts w:eastAsiaTheme="minorHAnsi"/>
                <w:sz w:val="22"/>
                <w:szCs w:val="22"/>
              </w:rPr>
              <w:t xml:space="preserve">2.8. дата опубликования эмитентом текста соответствующей консолидированной финансовой отчетности, а также текста аудиторского заключения, подготовленного в отношении такой отчетности, на странице в сети Интернет: </w:t>
            </w:r>
            <w:r w:rsidRPr="00BB7516">
              <w:rPr>
                <w:rFonts w:eastAsiaTheme="minorHAnsi"/>
                <w:b/>
                <w:i/>
                <w:sz w:val="22"/>
                <w:szCs w:val="22"/>
              </w:rPr>
              <w:t>30</w:t>
            </w:r>
            <w:r w:rsidRPr="00BB7516">
              <w:rPr>
                <w:rFonts w:eastAsiaTheme="minorHAnsi"/>
                <w:b/>
                <w:i/>
                <w:sz w:val="22"/>
                <w:szCs w:val="22"/>
              </w:rPr>
              <w:t>.0</w:t>
            </w:r>
            <w:r w:rsidRPr="00BB7516">
              <w:rPr>
                <w:rFonts w:eastAsiaTheme="minorHAnsi"/>
                <w:b/>
                <w:i/>
                <w:sz w:val="22"/>
                <w:szCs w:val="22"/>
              </w:rPr>
              <w:t>8</w:t>
            </w:r>
            <w:r w:rsidRPr="00BB7516">
              <w:rPr>
                <w:rFonts w:eastAsiaTheme="minorHAnsi"/>
                <w:b/>
                <w:i/>
                <w:sz w:val="22"/>
                <w:szCs w:val="22"/>
              </w:rPr>
              <w:t>.2021.</w:t>
            </w:r>
          </w:p>
        </w:tc>
      </w:tr>
    </w:tbl>
    <w:p w:rsidR="00BB7516" w:rsidRPr="00BB7516" w:rsidRDefault="00BB7516" w:rsidP="00BB7516">
      <w:pPr>
        <w:pStyle w:val="prilozhenie"/>
        <w:rPr>
          <w:sz w:val="22"/>
          <w:szCs w:val="22"/>
        </w:rPr>
      </w:pPr>
    </w:p>
    <w:tbl>
      <w:tblPr>
        <w:tblW w:w="0" w:type="auto"/>
        <w:tblLook w:val="00A0" w:firstRow="1" w:lastRow="0" w:firstColumn="1" w:lastColumn="0" w:noHBand="0" w:noVBand="0"/>
      </w:tblPr>
      <w:tblGrid>
        <w:gridCol w:w="9571"/>
      </w:tblGrid>
      <w:tr w:rsidR="00BB7516" w:rsidRPr="00BB7516" w:rsidTr="009A3A6C">
        <w:tc>
          <w:tcPr>
            <w:tcW w:w="957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pStyle w:val="prilozhenie"/>
              <w:ind w:firstLine="0"/>
              <w:jc w:val="center"/>
              <w:rPr>
                <w:sz w:val="22"/>
                <w:szCs w:val="22"/>
              </w:rPr>
            </w:pPr>
            <w:r w:rsidRPr="00BB7516">
              <w:rPr>
                <w:sz w:val="22"/>
                <w:szCs w:val="22"/>
              </w:rPr>
              <w:t>3. Подпись</w:t>
            </w:r>
          </w:p>
        </w:tc>
      </w:tr>
      <w:tr w:rsidR="00BB7516" w:rsidRPr="00A048AF" w:rsidTr="009A3A6C">
        <w:tc>
          <w:tcPr>
            <w:tcW w:w="9571" w:type="dxa"/>
            <w:tcBorders>
              <w:top w:val="single" w:sz="4" w:space="0" w:color="auto"/>
              <w:left w:val="single" w:sz="4" w:space="0" w:color="auto"/>
              <w:bottom w:val="single" w:sz="4" w:space="0" w:color="auto"/>
              <w:right w:val="single" w:sz="4" w:space="0" w:color="auto"/>
            </w:tcBorders>
          </w:tcPr>
          <w:p w:rsidR="00BB7516" w:rsidRPr="00BB7516" w:rsidRDefault="00BB7516" w:rsidP="009A3A6C">
            <w:pPr>
              <w:pStyle w:val="prilozhenie"/>
              <w:ind w:firstLine="0"/>
              <w:rPr>
                <w:sz w:val="22"/>
                <w:szCs w:val="22"/>
              </w:rPr>
            </w:pPr>
            <w:r w:rsidRPr="00BB7516">
              <w:rPr>
                <w:sz w:val="22"/>
                <w:szCs w:val="22"/>
              </w:rPr>
              <w:t xml:space="preserve">3.1. Генеральный директор </w:t>
            </w:r>
          </w:p>
          <w:p w:rsidR="00BB7516" w:rsidRPr="00BB7516" w:rsidRDefault="00BB7516" w:rsidP="009A3A6C">
            <w:pPr>
              <w:pStyle w:val="prilozhenie"/>
              <w:ind w:firstLine="0"/>
              <w:rPr>
                <w:sz w:val="22"/>
                <w:szCs w:val="22"/>
              </w:rPr>
            </w:pPr>
            <w:r w:rsidRPr="00BB7516">
              <w:rPr>
                <w:sz w:val="22"/>
                <w:szCs w:val="22"/>
              </w:rPr>
              <w:t>АО «</w:t>
            </w:r>
            <w:proofErr w:type="spellStart"/>
            <w:r w:rsidRPr="00BB7516">
              <w:rPr>
                <w:sz w:val="22"/>
                <w:szCs w:val="22"/>
              </w:rPr>
              <w:t>Трежери</w:t>
            </w:r>
            <w:proofErr w:type="spellEnd"/>
            <w:r w:rsidRPr="00BB7516">
              <w:rPr>
                <w:sz w:val="22"/>
                <w:szCs w:val="22"/>
              </w:rPr>
              <w:t xml:space="preserve"> Инвест»                                         ______________                        Р.В. </w:t>
            </w:r>
            <w:proofErr w:type="spellStart"/>
            <w:r w:rsidRPr="00BB7516">
              <w:rPr>
                <w:sz w:val="22"/>
                <w:szCs w:val="22"/>
              </w:rPr>
              <w:t>Шуков</w:t>
            </w:r>
            <w:proofErr w:type="spellEnd"/>
          </w:p>
          <w:p w:rsidR="00BB7516" w:rsidRPr="00BB7516" w:rsidRDefault="00BB7516" w:rsidP="009A3A6C">
            <w:pPr>
              <w:pStyle w:val="prilozhenie"/>
              <w:ind w:firstLine="0"/>
              <w:rPr>
                <w:sz w:val="22"/>
                <w:szCs w:val="22"/>
              </w:rPr>
            </w:pPr>
          </w:p>
          <w:p w:rsidR="00BB7516" w:rsidRPr="00A048AF" w:rsidRDefault="00BB7516" w:rsidP="00BB7516">
            <w:pPr>
              <w:pStyle w:val="prilozhenie"/>
              <w:ind w:firstLine="0"/>
              <w:jc w:val="left"/>
              <w:rPr>
                <w:sz w:val="22"/>
                <w:szCs w:val="22"/>
              </w:rPr>
            </w:pPr>
            <w:r w:rsidRPr="00BB7516">
              <w:rPr>
                <w:sz w:val="22"/>
                <w:szCs w:val="22"/>
              </w:rPr>
              <w:t>3.2. «</w:t>
            </w:r>
            <w:r w:rsidRPr="00BB7516">
              <w:rPr>
                <w:sz w:val="22"/>
                <w:szCs w:val="22"/>
              </w:rPr>
              <w:t>30</w:t>
            </w:r>
            <w:r w:rsidRPr="00BB7516">
              <w:rPr>
                <w:sz w:val="22"/>
                <w:szCs w:val="22"/>
              </w:rPr>
              <w:t>» а</w:t>
            </w:r>
            <w:r w:rsidRPr="00BB7516">
              <w:rPr>
                <w:sz w:val="22"/>
                <w:szCs w:val="22"/>
              </w:rPr>
              <w:t>вгуста</w:t>
            </w:r>
            <w:r w:rsidRPr="00BB7516">
              <w:rPr>
                <w:sz w:val="22"/>
                <w:szCs w:val="22"/>
              </w:rPr>
              <w:t xml:space="preserve"> 2021 г.                                                М.П.</w:t>
            </w:r>
          </w:p>
        </w:tc>
      </w:tr>
    </w:tbl>
    <w:p w:rsidR="00681BA1" w:rsidRDefault="00681BA1" w:rsidP="00BB7516"/>
    <w:sectPr w:rsidR="00681BA1" w:rsidSect="00BB7516">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516"/>
    <w:rsid w:val="00632294"/>
    <w:rsid w:val="00681BA1"/>
    <w:rsid w:val="00BB7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1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B7516"/>
    <w:pPr>
      <w:ind w:firstLine="709"/>
      <w:jc w:val="both"/>
    </w:pPr>
    <w:rPr>
      <w:sz w:val="24"/>
      <w:szCs w:val="24"/>
    </w:rPr>
  </w:style>
  <w:style w:type="character" w:styleId="a3">
    <w:name w:val="Hyperlink"/>
    <w:uiPriority w:val="99"/>
    <w:rsid w:val="00BB7516"/>
    <w:rPr>
      <w:color w:val="0000FF"/>
      <w:u w:val="single"/>
    </w:rPr>
  </w:style>
  <w:style w:type="table" w:styleId="a4">
    <w:name w:val="Table Grid"/>
    <w:basedOn w:val="a1"/>
    <w:rsid w:val="00BB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516"/>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BB7516"/>
    <w:pPr>
      <w:ind w:firstLine="709"/>
      <w:jc w:val="both"/>
    </w:pPr>
    <w:rPr>
      <w:sz w:val="24"/>
      <w:szCs w:val="24"/>
    </w:rPr>
  </w:style>
  <w:style w:type="character" w:styleId="a3">
    <w:name w:val="Hyperlink"/>
    <w:uiPriority w:val="99"/>
    <w:rsid w:val="00BB7516"/>
    <w:rPr>
      <w:color w:val="0000FF"/>
      <w:u w:val="single"/>
    </w:rPr>
  </w:style>
  <w:style w:type="table" w:styleId="a4">
    <w:name w:val="Table Grid"/>
    <w:basedOn w:val="a1"/>
    <w:rsid w:val="00BB75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asuryinvest.ru/" TargetMode="External"/><Relationship Id="rId3" Type="http://schemas.openxmlformats.org/officeDocument/2006/relationships/settings" Target="settings.xml"/><Relationship Id="rId7" Type="http://schemas.openxmlformats.org/officeDocument/2006/relationships/hyperlink" Target="http://www.e-disclosure.ru/portal/company.aspx?id=3825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reasuryinvest.ru/" TargetMode="External"/><Relationship Id="rId5" Type="http://schemas.openxmlformats.org/officeDocument/2006/relationships/hyperlink" Target="http://www.e-disclosure.ru/portal/company.aspx?id=382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2021-08-30T14:19:00Z</dcterms:created>
  <dcterms:modified xsi:type="dcterms:W3CDTF">2021-08-30T14:29:00Z</dcterms:modified>
</cp:coreProperties>
</file>