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B3" w:rsidRDefault="006043B3" w:rsidP="006043B3">
      <w:pPr>
        <w:jc w:val="center"/>
        <w:rPr>
          <w:b/>
          <w:bCs/>
          <w:sz w:val="24"/>
          <w:szCs w:val="23"/>
        </w:rPr>
      </w:pPr>
      <w:r>
        <w:rPr>
          <w:b/>
          <w:bCs/>
          <w:sz w:val="24"/>
          <w:szCs w:val="23"/>
        </w:rPr>
        <w:t>С</w:t>
      </w:r>
      <w:r w:rsidRPr="006043B3">
        <w:rPr>
          <w:b/>
          <w:bCs/>
          <w:sz w:val="24"/>
          <w:szCs w:val="23"/>
        </w:rPr>
        <w:t>ообщени</w:t>
      </w:r>
      <w:r>
        <w:rPr>
          <w:b/>
          <w:bCs/>
          <w:sz w:val="24"/>
          <w:szCs w:val="23"/>
        </w:rPr>
        <w:t>е</w:t>
      </w:r>
      <w:r w:rsidRPr="006043B3">
        <w:rPr>
          <w:b/>
          <w:bCs/>
          <w:sz w:val="24"/>
          <w:szCs w:val="23"/>
        </w:rPr>
        <w:t xml:space="preserve"> о проведении (созыве) общего собрания акционеров акционерного общества</w:t>
      </w:r>
    </w:p>
    <w:p w:rsidR="006043B3" w:rsidRPr="006043B3" w:rsidRDefault="006043B3" w:rsidP="006043B3">
      <w:pPr>
        <w:jc w:val="center"/>
        <w:rPr>
          <w:b/>
          <w:sz w:val="24"/>
          <w:szCs w:val="22"/>
          <w:highlight w:val="yellow"/>
        </w:rPr>
      </w:pPr>
    </w:p>
    <w:tbl>
      <w:tblPr>
        <w:tblStyle w:val="a4"/>
        <w:tblW w:w="9648" w:type="dxa"/>
        <w:jc w:val="center"/>
        <w:tblLook w:val="00A0" w:firstRow="1" w:lastRow="0" w:firstColumn="1" w:lastColumn="0" w:noHBand="0" w:noVBand="0"/>
      </w:tblPr>
      <w:tblGrid>
        <w:gridCol w:w="9648"/>
      </w:tblGrid>
      <w:tr w:rsidR="006043B3" w:rsidRPr="006043B3" w:rsidTr="005B5261">
        <w:trPr>
          <w:trHeight w:val="345"/>
          <w:jc w:val="center"/>
        </w:trPr>
        <w:tc>
          <w:tcPr>
            <w:tcW w:w="9648" w:type="dxa"/>
          </w:tcPr>
          <w:p w:rsidR="006043B3" w:rsidRPr="006043B3" w:rsidRDefault="006043B3" w:rsidP="005B5261">
            <w:pPr>
              <w:pStyle w:val="prilozhenie"/>
              <w:ind w:firstLine="0"/>
              <w:jc w:val="center"/>
              <w:rPr>
                <w:szCs w:val="22"/>
              </w:rPr>
            </w:pPr>
            <w:r w:rsidRPr="006043B3">
              <w:rPr>
                <w:szCs w:val="22"/>
              </w:rPr>
              <w:t>1. Общие сведения</w:t>
            </w:r>
          </w:p>
        </w:tc>
      </w:tr>
    </w:tbl>
    <w:tbl>
      <w:tblPr>
        <w:tblW w:w="9626" w:type="dxa"/>
        <w:jc w:val="center"/>
        <w:tblLook w:val="00A0" w:firstRow="1" w:lastRow="0" w:firstColumn="1" w:lastColumn="0" w:noHBand="0" w:noVBand="0"/>
      </w:tblPr>
      <w:tblGrid>
        <w:gridCol w:w="4311"/>
        <w:gridCol w:w="5315"/>
      </w:tblGrid>
      <w:tr w:rsidR="006043B3" w:rsidRPr="006043B3" w:rsidTr="005B526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rPr>
                <w:sz w:val="24"/>
                <w:szCs w:val="22"/>
              </w:rPr>
            </w:pPr>
            <w:r w:rsidRPr="006043B3">
              <w:rPr>
                <w:sz w:val="24"/>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spacing w:line="276" w:lineRule="auto"/>
              <w:ind w:left="57"/>
              <w:rPr>
                <w:b/>
                <w:i/>
                <w:sz w:val="24"/>
                <w:szCs w:val="22"/>
              </w:rPr>
            </w:pPr>
            <w:r w:rsidRPr="006043B3">
              <w:rPr>
                <w:b/>
                <w:i/>
                <w:sz w:val="24"/>
                <w:szCs w:val="22"/>
              </w:rPr>
              <w:t>Акционерное общество «</w:t>
            </w:r>
            <w:proofErr w:type="spellStart"/>
            <w:r w:rsidRPr="006043B3">
              <w:rPr>
                <w:b/>
                <w:i/>
                <w:sz w:val="24"/>
                <w:szCs w:val="22"/>
              </w:rPr>
              <w:t>Трежери</w:t>
            </w:r>
            <w:proofErr w:type="spellEnd"/>
            <w:r w:rsidRPr="006043B3">
              <w:rPr>
                <w:b/>
                <w:i/>
                <w:sz w:val="24"/>
                <w:szCs w:val="22"/>
              </w:rPr>
              <w:t xml:space="preserve"> Инвест»</w:t>
            </w:r>
          </w:p>
        </w:tc>
      </w:tr>
      <w:tr w:rsidR="006043B3" w:rsidRPr="006043B3" w:rsidTr="005B5261">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rPr>
                <w:sz w:val="24"/>
                <w:szCs w:val="22"/>
              </w:rPr>
            </w:pPr>
            <w:r w:rsidRPr="006043B3">
              <w:rPr>
                <w:sz w:val="24"/>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spacing w:line="276" w:lineRule="auto"/>
              <w:ind w:left="57"/>
              <w:rPr>
                <w:b/>
                <w:i/>
                <w:sz w:val="24"/>
                <w:szCs w:val="22"/>
              </w:rPr>
            </w:pPr>
            <w:r w:rsidRPr="006043B3">
              <w:rPr>
                <w:b/>
                <w:i/>
                <w:sz w:val="24"/>
                <w:szCs w:val="22"/>
              </w:rPr>
              <w:t>АО «</w:t>
            </w:r>
            <w:proofErr w:type="spellStart"/>
            <w:r w:rsidRPr="006043B3">
              <w:rPr>
                <w:b/>
                <w:i/>
                <w:sz w:val="24"/>
                <w:szCs w:val="22"/>
              </w:rPr>
              <w:t>Трежери</w:t>
            </w:r>
            <w:proofErr w:type="spellEnd"/>
            <w:r w:rsidRPr="006043B3">
              <w:rPr>
                <w:b/>
                <w:i/>
                <w:sz w:val="24"/>
                <w:szCs w:val="22"/>
              </w:rPr>
              <w:t xml:space="preserve"> Инвест»</w:t>
            </w:r>
          </w:p>
        </w:tc>
      </w:tr>
      <w:tr w:rsidR="006043B3" w:rsidRPr="006043B3" w:rsidTr="005B5261">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rPr>
                <w:sz w:val="24"/>
                <w:szCs w:val="22"/>
              </w:rPr>
            </w:pPr>
            <w:r w:rsidRPr="006043B3">
              <w:rPr>
                <w:sz w:val="24"/>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spacing w:line="276" w:lineRule="auto"/>
              <w:ind w:left="57"/>
              <w:rPr>
                <w:b/>
                <w:i/>
                <w:sz w:val="24"/>
                <w:szCs w:val="22"/>
              </w:rPr>
            </w:pPr>
            <w:r w:rsidRPr="006043B3">
              <w:rPr>
                <w:b/>
                <w:i/>
                <w:sz w:val="24"/>
                <w:szCs w:val="22"/>
              </w:rPr>
              <w:t>121151, г. Москва, наб. Тараса Шевченко, д. 23А, этаж 19, помещение I, комната 13</w:t>
            </w:r>
          </w:p>
        </w:tc>
      </w:tr>
      <w:tr w:rsidR="006043B3" w:rsidRPr="006043B3" w:rsidTr="005B5261">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rPr>
                <w:sz w:val="24"/>
                <w:szCs w:val="22"/>
              </w:rPr>
            </w:pPr>
            <w:r w:rsidRPr="006043B3">
              <w:rPr>
                <w:sz w:val="24"/>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spacing w:line="276" w:lineRule="auto"/>
              <w:ind w:left="57"/>
              <w:rPr>
                <w:b/>
                <w:i/>
                <w:sz w:val="24"/>
                <w:szCs w:val="22"/>
              </w:rPr>
            </w:pPr>
            <w:r w:rsidRPr="006043B3">
              <w:rPr>
                <w:b/>
                <w:i/>
                <w:sz w:val="24"/>
                <w:szCs w:val="22"/>
              </w:rPr>
              <w:t>1207700290137</w:t>
            </w:r>
          </w:p>
        </w:tc>
      </w:tr>
      <w:tr w:rsidR="006043B3" w:rsidRPr="006043B3" w:rsidTr="005B5261">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rPr>
                <w:sz w:val="24"/>
                <w:szCs w:val="22"/>
              </w:rPr>
            </w:pPr>
            <w:r w:rsidRPr="006043B3">
              <w:rPr>
                <w:sz w:val="24"/>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spacing w:line="276" w:lineRule="auto"/>
              <w:ind w:left="57"/>
              <w:rPr>
                <w:b/>
                <w:i/>
                <w:sz w:val="24"/>
                <w:szCs w:val="22"/>
              </w:rPr>
            </w:pPr>
            <w:r w:rsidRPr="006043B3">
              <w:rPr>
                <w:b/>
                <w:i/>
                <w:sz w:val="24"/>
                <w:szCs w:val="22"/>
              </w:rPr>
              <w:t>7730258615</w:t>
            </w:r>
          </w:p>
        </w:tc>
      </w:tr>
      <w:tr w:rsidR="006043B3" w:rsidRPr="006043B3" w:rsidTr="005B526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rPr>
                <w:sz w:val="24"/>
                <w:szCs w:val="22"/>
              </w:rPr>
            </w:pPr>
            <w:r w:rsidRPr="006043B3">
              <w:rPr>
                <w:sz w:val="24"/>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spacing w:line="276" w:lineRule="auto"/>
              <w:ind w:left="57"/>
              <w:rPr>
                <w:b/>
                <w:i/>
                <w:sz w:val="24"/>
                <w:szCs w:val="22"/>
              </w:rPr>
            </w:pPr>
            <w:r w:rsidRPr="006043B3">
              <w:rPr>
                <w:b/>
                <w:i/>
                <w:sz w:val="24"/>
                <w:szCs w:val="22"/>
              </w:rPr>
              <w:t>16675-А</w:t>
            </w:r>
          </w:p>
        </w:tc>
      </w:tr>
      <w:tr w:rsidR="006043B3" w:rsidRPr="006043B3" w:rsidTr="005B5261">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rPr>
                <w:sz w:val="24"/>
                <w:szCs w:val="22"/>
              </w:rPr>
            </w:pPr>
            <w:r w:rsidRPr="006043B3">
              <w:rPr>
                <w:sz w:val="24"/>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spacing w:line="276" w:lineRule="auto"/>
              <w:rPr>
                <w:b/>
                <w:i/>
                <w:sz w:val="24"/>
                <w:szCs w:val="22"/>
              </w:rPr>
            </w:pPr>
            <w:hyperlink r:id="rId5" w:history="1">
              <w:r w:rsidRPr="006043B3">
                <w:rPr>
                  <w:rStyle w:val="a3"/>
                  <w:b/>
                  <w:i/>
                  <w:sz w:val="24"/>
                  <w:szCs w:val="22"/>
                </w:rPr>
                <w:t>http://www.e-disclosure.ru/portal/company.aspx?id=38255</w:t>
              </w:r>
            </w:hyperlink>
            <w:r w:rsidRPr="006043B3">
              <w:rPr>
                <w:b/>
                <w:i/>
                <w:sz w:val="24"/>
                <w:szCs w:val="22"/>
              </w:rPr>
              <w:t>;</w:t>
            </w:r>
          </w:p>
          <w:p w:rsidR="006043B3" w:rsidRPr="006043B3" w:rsidRDefault="006043B3" w:rsidP="005B5261">
            <w:pPr>
              <w:spacing w:line="276" w:lineRule="auto"/>
              <w:rPr>
                <w:b/>
                <w:i/>
                <w:sz w:val="24"/>
                <w:szCs w:val="22"/>
              </w:rPr>
            </w:pPr>
            <w:hyperlink r:id="rId6" w:history="1">
              <w:r w:rsidRPr="006043B3">
                <w:rPr>
                  <w:rStyle w:val="a3"/>
                  <w:b/>
                  <w:i/>
                  <w:sz w:val="24"/>
                  <w:szCs w:val="22"/>
                </w:rPr>
                <w:t>http://treasuryinvest.ru/</w:t>
              </w:r>
            </w:hyperlink>
            <w:r w:rsidRPr="006043B3">
              <w:rPr>
                <w:b/>
                <w:i/>
                <w:sz w:val="24"/>
                <w:szCs w:val="22"/>
              </w:rPr>
              <w:t xml:space="preserve"> </w:t>
            </w:r>
          </w:p>
        </w:tc>
      </w:tr>
      <w:tr w:rsidR="006043B3" w:rsidRPr="006043B3" w:rsidTr="005B5261">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rPr>
                <w:sz w:val="24"/>
                <w:szCs w:val="22"/>
              </w:rPr>
            </w:pPr>
            <w:r w:rsidRPr="006043B3">
              <w:rPr>
                <w:sz w:val="24"/>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6043B3" w:rsidRPr="006043B3" w:rsidRDefault="006043B3" w:rsidP="005B5261">
            <w:pPr>
              <w:spacing w:line="276" w:lineRule="auto"/>
              <w:ind w:left="57"/>
              <w:rPr>
                <w:rStyle w:val="a3"/>
                <w:b/>
                <w:i/>
                <w:sz w:val="24"/>
                <w:szCs w:val="22"/>
                <w:lang w:val="en-US"/>
              </w:rPr>
            </w:pPr>
            <w:r w:rsidRPr="006043B3">
              <w:rPr>
                <w:b/>
                <w:i/>
                <w:sz w:val="24"/>
                <w:szCs w:val="22"/>
              </w:rPr>
              <w:t>15 мая 2022 г.</w:t>
            </w:r>
          </w:p>
        </w:tc>
      </w:tr>
    </w:tbl>
    <w:p w:rsidR="006043B3" w:rsidRPr="006043B3" w:rsidRDefault="006043B3" w:rsidP="006043B3">
      <w:pPr>
        <w:pStyle w:val="prilozhenie"/>
        <w:rPr>
          <w:szCs w:val="22"/>
          <w:highlight w:val="yellow"/>
        </w:rPr>
      </w:pPr>
    </w:p>
    <w:tbl>
      <w:tblPr>
        <w:tblW w:w="9541" w:type="dxa"/>
        <w:tblLook w:val="00A0" w:firstRow="1" w:lastRow="0" w:firstColumn="1" w:lastColumn="0" w:noHBand="0" w:noVBand="0"/>
      </w:tblPr>
      <w:tblGrid>
        <w:gridCol w:w="9541"/>
      </w:tblGrid>
      <w:tr w:rsidR="006043B3" w:rsidRPr="006043B3" w:rsidTr="005B5261">
        <w:trPr>
          <w:trHeight w:val="247"/>
        </w:trPr>
        <w:tc>
          <w:tcPr>
            <w:tcW w:w="0" w:type="auto"/>
            <w:tcBorders>
              <w:top w:val="single" w:sz="4" w:space="0" w:color="auto"/>
              <w:left w:val="single" w:sz="4" w:space="0" w:color="auto"/>
              <w:bottom w:val="single" w:sz="4" w:space="0" w:color="auto"/>
              <w:right w:val="single" w:sz="4" w:space="0" w:color="auto"/>
            </w:tcBorders>
          </w:tcPr>
          <w:p w:rsidR="006043B3" w:rsidRPr="006043B3" w:rsidRDefault="006043B3" w:rsidP="005B5261">
            <w:pPr>
              <w:pStyle w:val="prilozhenie"/>
              <w:ind w:firstLine="0"/>
              <w:jc w:val="center"/>
              <w:rPr>
                <w:szCs w:val="22"/>
              </w:rPr>
            </w:pPr>
            <w:r w:rsidRPr="006043B3">
              <w:rPr>
                <w:szCs w:val="22"/>
              </w:rPr>
              <w:t>2. Содержание сообщения</w:t>
            </w:r>
          </w:p>
        </w:tc>
      </w:tr>
      <w:tr w:rsidR="006043B3" w:rsidRPr="006043B3" w:rsidTr="005B5261">
        <w:trPr>
          <w:trHeight w:val="1980"/>
        </w:trPr>
        <w:tc>
          <w:tcPr>
            <w:tcW w:w="0" w:type="auto"/>
            <w:tcBorders>
              <w:top w:val="single" w:sz="4" w:space="0" w:color="auto"/>
              <w:left w:val="single" w:sz="4" w:space="0" w:color="auto"/>
              <w:bottom w:val="single" w:sz="4" w:space="0" w:color="auto"/>
              <w:right w:val="single" w:sz="4" w:space="0" w:color="auto"/>
            </w:tcBorders>
          </w:tcPr>
          <w:p w:rsidR="005F5800" w:rsidRDefault="005F5800" w:rsidP="005F5800">
            <w:pPr>
              <w:autoSpaceDE w:val="0"/>
              <w:autoSpaceDN w:val="0"/>
              <w:adjustRightInd w:val="0"/>
              <w:jc w:val="both"/>
              <w:rPr>
                <w:rFonts w:eastAsiaTheme="minorHAnsi"/>
                <w:sz w:val="24"/>
                <w:szCs w:val="22"/>
              </w:rPr>
            </w:pPr>
            <w:r>
              <w:rPr>
                <w:rFonts w:eastAsiaTheme="minorHAnsi"/>
                <w:sz w:val="24"/>
                <w:szCs w:val="22"/>
              </w:rPr>
              <w:t>2.1.В</w:t>
            </w:r>
            <w:r w:rsidRPr="005F5800">
              <w:rPr>
                <w:rFonts w:eastAsiaTheme="minorHAnsi"/>
                <w:sz w:val="24"/>
                <w:szCs w:val="22"/>
              </w:rPr>
              <w:t>ид общего собрания акционеров (годовое (очередное), внеочередн</w:t>
            </w:r>
            <w:r>
              <w:rPr>
                <w:rFonts w:eastAsiaTheme="minorHAnsi"/>
                <w:sz w:val="24"/>
                <w:szCs w:val="22"/>
              </w:rPr>
              <w:t xml:space="preserve">ое): </w:t>
            </w:r>
            <w:r w:rsidRPr="005F5800">
              <w:rPr>
                <w:rFonts w:eastAsiaTheme="minorHAnsi"/>
                <w:b/>
                <w:i/>
                <w:sz w:val="24"/>
                <w:szCs w:val="22"/>
              </w:rPr>
              <w:t>годовое (очередное);</w:t>
            </w:r>
          </w:p>
          <w:p w:rsidR="005F5800" w:rsidRDefault="005F5800" w:rsidP="005F5800">
            <w:pPr>
              <w:autoSpaceDE w:val="0"/>
              <w:autoSpaceDN w:val="0"/>
              <w:adjustRightInd w:val="0"/>
              <w:jc w:val="both"/>
              <w:rPr>
                <w:rFonts w:eastAsiaTheme="minorHAnsi"/>
                <w:sz w:val="24"/>
                <w:szCs w:val="22"/>
              </w:rPr>
            </w:pPr>
            <w:r>
              <w:rPr>
                <w:rFonts w:eastAsiaTheme="minorHAnsi"/>
                <w:sz w:val="24"/>
                <w:szCs w:val="22"/>
              </w:rPr>
              <w:t>2.2. Фо</w:t>
            </w:r>
            <w:r w:rsidRPr="005F5800">
              <w:rPr>
                <w:rFonts w:eastAsiaTheme="minorHAnsi"/>
                <w:sz w:val="24"/>
                <w:szCs w:val="22"/>
              </w:rPr>
              <w:t>рма проведения общего собрания акционеров (собрание (совместное присут</w:t>
            </w:r>
            <w:r>
              <w:rPr>
                <w:rFonts w:eastAsiaTheme="minorHAnsi"/>
                <w:sz w:val="24"/>
                <w:szCs w:val="22"/>
              </w:rPr>
              <w:t xml:space="preserve">ствие) или заочное голосование): </w:t>
            </w:r>
            <w:r w:rsidRPr="005F5800">
              <w:rPr>
                <w:rFonts w:eastAsiaTheme="minorHAnsi"/>
                <w:b/>
                <w:i/>
                <w:sz w:val="24"/>
                <w:szCs w:val="22"/>
              </w:rPr>
              <w:t>собрание (совместное присутствие);</w:t>
            </w:r>
          </w:p>
          <w:p w:rsidR="005F5800" w:rsidRPr="005F5800" w:rsidRDefault="005F5800" w:rsidP="005F5800">
            <w:pPr>
              <w:autoSpaceDE w:val="0"/>
              <w:autoSpaceDN w:val="0"/>
              <w:adjustRightInd w:val="0"/>
              <w:jc w:val="both"/>
              <w:rPr>
                <w:rFonts w:eastAsiaTheme="minorHAnsi"/>
                <w:sz w:val="24"/>
                <w:szCs w:val="22"/>
              </w:rPr>
            </w:pPr>
            <w:r>
              <w:rPr>
                <w:rFonts w:eastAsiaTheme="minorHAnsi"/>
                <w:sz w:val="24"/>
                <w:szCs w:val="22"/>
              </w:rPr>
              <w:t>2.3. В</w:t>
            </w:r>
            <w:r w:rsidRPr="005F5800">
              <w:rPr>
                <w:rFonts w:eastAsiaTheme="minorHAnsi"/>
                <w:sz w:val="24"/>
                <w:szCs w:val="22"/>
              </w:rPr>
              <w:t>ид ценных бумаг (акции), категория (тип) и иные идентификационные признаки акций, владельцы которых имеют право на участие в общем собрании акционеров, указанные в решении о выпуске акций</w:t>
            </w:r>
            <w:r>
              <w:rPr>
                <w:rFonts w:eastAsiaTheme="minorHAnsi"/>
                <w:sz w:val="24"/>
                <w:szCs w:val="22"/>
              </w:rPr>
              <w:t xml:space="preserve">: </w:t>
            </w:r>
            <w:r w:rsidRPr="005F5800">
              <w:rPr>
                <w:rFonts w:eastAsiaTheme="minorHAnsi"/>
                <w:b/>
                <w:i/>
                <w:sz w:val="24"/>
                <w:szCs w:val="22"/>
              </w:rPr>
              <w:t>акции обыкновенные, 1-01-16675-A от 23.07.2020, ISIN RU000A1021W0</w:t>
            </w:r>
            <w:r w:rsidRPr="005F5800">
              <w:rPr>
                <w:rFonts w:eastAsiaTheme="minorHAnsi"/>
                <w:b/>
                <w:i/>
                <w:sz w:val="24"/>
                <w:szCs w:val="22"/>
              </w:rPr>
              <w:t>;</w:t>
            </w:r>
          </w:p>
          <w:p w:rsidR="005F5800" w:rsidRPr="005F5800" w:rsidRDefault="005F5800" w:rsidP="005F5800">
            <w:pPr>
              <w:autoSpaceDE w:val="0"/>
              <w:autoSpaceDN w:val="0"/>
              <w:adjustRightInd w:val="0"/>
              <w:jc w:val="both"/>
              <w:rPr>
                <w:rFonts w:eastAsiaTheme="minorHAnsi"/>
                <w:sz w:val="24"/>
                <w:szCs w:val="22"/>
              </w:rPr>
            </w:pPr>
            <w:r>
              <w:rPr>
                <w:rFonts w:eastAsiaTheme="minorHAnsi"/>
                <w:sz w:val="24"/>
                <w:szCs w:val="22"/>
              </w:rPr>
              <w:t>2.4. Д</w:t>
            </w:r>
            <w:r w:rsidRPr="005F5800">
              <w:rPr>
                <w:rFonts w:eastAsiaTheme="minorHAnsi"/>
                <w:sz w:val="24"/>
                <w:szCs w:val="22"/>
              </w:rPr>
              <w:t>ата, место, время проведения общего собрания акционеров, почтовый адрес, адрес электронной почты для направления заполненных бюллетеней для голосования, а если общее собрание акционеров проводится с возможностью заполнения электронной формы бюллетеней на сайте в сети "Интернет" - также адрес сайта в сети "Интернет", на котором заполняются электронные ф</w:t>
            </w:r>
            <w:r>
              <w:rPr>
                <w:rFonts w:eastAsiaTheme="minorHAnsi"/>
                <w:sz w:val="24"/>
                <w:szCs w:val="22"/>
              </w:rPr>
              <w:t xml:space="preserve">ормы бюллетеней для голосования: </w:t>
            </w:r>
            <w:r w:rsidRPr="005F5800">
              <w:rPr>
                <w:rFonts w:eastAsiaTheme="minorHAnsi"/>
                <w:b/>
                <w:i/>
                <w:sz w:val="24"/>
                <w:szCs w:val="22"/>
              </w:rPr>
              <w:t>16.06.2022; 121151, г. Москва, набережная Тараса Шевченко, д. 23А, этаж 19, пом. I, комната 13; 10 часов 30 минут;</w:t>
            </w:r>
          </w:p>
          <w:p w:rsidR="005F5800" w:rsidRPr="005F5800" w:rsidRDefault="005F5800" w:rsidP="005F5800">
            <w:pPr>
              <w:autoSpaceDE w:val="0"/>
              <w:autoSpaceDN w:val="0"/>
              <w:adjustRightInd w:val="0"/>
              <w:jc w:val="both"/>
              <w:rPr>
                <w:rFonts w:eastAsiaTheme="minorHAnsi"/>
                <w:sz w:val="24"/>
                <w:szCs w:val="22"/>
              </w:rPr>
            </w:pPr>
            <w:r>
              <w:rPr>
                <w:rFonts w:eastAsiaTheme="minorHAnsi"/>
                <w:sz w:val="24"/>
                <w:szCs w:val="22"/>
              </w:rPr>
              <w:t>2.5. В</w:t>
            </w:r>
            <w:r w:rsidRPr="005F5800">
              <w:rPr>
                <w:rFonts w:eastAsiaTheme="minorHAnsi"/>
                <w:sz w:val="24"/>
                <w:szCs w:val="22"/>
              </w:rPr>
              <w:t>ремя начала регистрации лиц, принимающих участие в общем собрании акционеров (в случае проведения общего собрания акционеров в форме соб</w:t>
            </w:r>
            <w:r>
              <w:rPr>
                <w:rFonts w:eastAsiaTheme="minorHAnsi"/>
                <w:sz w:val="24"/>
                <w:szCs w:val="22"/>
              </w:rPr>
              <w:t xml:space="preserve">рания (совместного присутствия): </w:t>
            </w:r>
            <w:r w:rsidRPr="005F5800">
              <w:rPr>
                <w:rFonts w:eastAsiaTheme="minorHAnsi"/>
                <w:b/>
                <w:i/>
                <w:sz w:val="24"/>
                <w:szCs w:val="22"/>
              </w:rPr>
              <w:t>10 часов 00 минут;</w:t>
            </w:r>
          </w:p>
          <w:p w:rsidR="005F5800" w:rsidRPr="005F5800" w:rsidRDefault="005F5800" w:rsidP="005F5800">
            <w:pPr>
              <w:autoSpaceDE w:val="0"/>
              <w:autoSpaceDN w:val="0"/>
              <w:adjustRightInd w:val="0"/>
              <w:jc w:val="both"/>
              <w:rPr>
                <w:rFonts w:eastAsiaTheme="minorHAnsi"/>
                <w:sz w:val="24"/>
                <w:szCs w:val="22"/>
              </w:rPr>
            </w:pPr>
            <w:r>
              <w:rPr>
                <w:rFonts w:eastAsiaTheme="minorHAnsi"/>
                <w:sz w:val="24"/>
                <w:szCs w:val="22"/>
              </w:rPr>
              <w:t>2.6. Д</w:t>
            </w:r>
            <w:r w:rsidRPr="005F5800">
              <w:rPr>
                <w:rFonts w:eastAsiaTheme="minorHAnsi"/>
                <w:sz w:val="24"/>
                <w:szCs w:val="22"/>
              </w:rPr>
              <w:t>ата окончания приема бюллетеней для голосования (в случае проведения общего собрания акционеров в форме заочного голосования)</w:t>
            </w:r>
            <w:r>
              <w:rPr>
                <w:rFonts w:eastAsiaTheme="minorHAnsi"/>
                <w:sz w:val="24"/>
                <w:szCs w:val="22"/>
              </w:rPr>
              <w:t>:</w:t>
            </w:r>
            <w:r w:rsidR="00E4158D">
              <w:t xml:space="preserve"> </w:t>
            </w:r>
            <w:r w:rsidR="00E4158D" w:rsidRPr="00E4158D">
              <w:rPr>
                <w:rFonts w:eastAsiaTheme="minorHAnsi"/>
                <w:b/>
                <w:i/>
                <w:sz w:val="24"/>
                <w:szCs w:val="22"/>
              </w:rPr>
              <w:t>не применимо;</w:t>
            </w:r>
          </w:p>
          <w:p w:rsidR="005F5800" w:rsidRPr="005F5800" w:rsidRDefault="005F5800" w:rsidP="005F5800">
            <w:pPr>
              <w:autoSpaceDE w:val="0"/>
              <w:autoSpaceDN w:val="0"/>
              <w:adjustRightInd w:val="0"/>
              <w:jc w:val="both"/>
              <w:rPr>
                <w:rFonts w:eastAsiaTheme="minorHAnsi"/>
                <w:sz w:val="24"/>
                <w:szCs w:val="22"/>
              </w:rPr>
            </w:pPr>
            <w:r>
              <w:rPr>
                <w:rFonts w:eastAsiaTheme="minorHAnsi"/>
                <w:sz w:val="24"/>
                <w:szCs w:val="22"/>
              </w:rPr>
              <w:t>2.7. Д</w:t>
            </w:r>
            <w:r w:rsidRPr="005F5800">
              <w:rPr>
                <w:rFonts w:eastAsiaTheme="minorHAnsi"/>
                <w:sz w:val="24"/>
                <w:szCs w:val="22"/>
              </w:rPr>
              <w:t>ата, на которую определяются (фиксируются) лица, имеющие право на участие в общем собрании акционеров</w:t>
            </w:r>
            <w:r w:rsidR="00E4158D">
              <w:rPr>
                <w:rFonts w:eastAsiaTheme="minorHAnsi"/>
                <w:sz w:val="24"/>
                <w:szCs w:val="22"/>
              </w:rPr>
              <w:t xml:space="preserve">: </w:t>
            </w:r>
            <w:r w:rsidR="00E4158D" w:rsidRPr="00E4158D">
              <w:rPr>
                <w:rFonts w:eastAsiaTheme="minorHAnsi"/>
                <w:b/>
                <w:i/>
                <w:sz w:val="24"/>
                <w:szCs w:val="22"/>
              </w:rPr>
              <w:t>23.05.2022;</w:t>
            </w:r>
          </w:p>
          <w:p w:rsidR="00E4158D" w:rsidRDefault="005F5800" w:rsidP="00E4158D">
            <w:pPr>
              <w:autoSpaceDE w:val="0"/>
              <w:autoSpaceDN w:val="0"/>
              <w:adjustRightInd w:val="0"/>
              <w:jc w:val="both"/>
              <w:rPr>
                <w:rFonts w:eastAsiaTheme="minorHAnsi"/>
                <w:sz w:val="24"/>
                <w:szCs w:val="22"/>
              </w:rPr>
            </w:pPr>
            <w:r>
              <w:rPr>
                <w:rFonts w:eastAsiaTheme="minorHAnsi"/>
                <w:sz w:val="24"/>
                <w:szCs w:val="22"/>
              </w:rPr>
              <w:t>2.8. П</w:t>
            </w:r>
            <w:r w:rsidRPr="005F5800">
              <w:rPr>
                <w:rFonts w:eastAsiaTheme="minorHAnsi"/>
                <w:sz w:val="24"/>
                <w:szCs w:val="22"/>
              </w:rPr>
              <w:t>овестка дня общего собрания акционеров</w:t>
            </w:r>
            <w:r w:rsidR="00E4158D">
              <w:rPr>
                <w:rFonts w:eastAsiaTheme="minorHAnsi"/>
                <w:sz w:val="24"/>
                <w:szCs w:val="22"/>
              </w:rPr>
              <w:t xml:space="preserve">: </w:t>
            </w:r>
          </w:p>
          <w:p w:rsidR="00E4158D" w:rsidRPr="00E4158D" w:rsidRDefault="00E4158D" w:rsidP="00E4158D">
            <w:pPr>
              <w:autoSpaceDE w:val="0"/>
              <w:autoSpaceDN w:val="0"/>
              <w:adjustRightInd w:val="0"/>
              <w:jc w:val="both"/>
              <w:rPr>
                <w:rFonts w:eastAsiaTheme="minorHAnsi"/>
                <w:b/>
                <w:i/>
                <w:sz w:val="24"/>
                <w:szCs w:val="22"/>
              </w:rPr>
            </w:pPr>
            <w:r>
              <w:rPr>
                <w:rFonts w:eastAsiaTheme="minorHAnsi"/>
                <w:b/>
                <w:i/>
                <w:sz w:val="24"/>
                <w:szCs w:val="22"/>
              </w:rPr>
              <w:t xml:space="preserve">а. </w:t>
            </w:r>
            <w:r w:rsidRPr="00E4158D">
              <w:rPr>
                <w:rFonts w:eastAsiaTheme="minorHAnsi"/>
                <w:b/>
                <w:i/>
                <w:sz w:val="24"/>
                <w:szCs w:val="22"/>
              </w:rPr>
              <w:t>Определение порядка ведения Общего собрания акционеров.</w:t>
            </w:r>
          </w:p>
          <w:p w:rsidR="00E4158D" w:rsidRPr="00E4158D" w:rsidRDefault="00E4158D" w:rsidP="00E4158D">
            <w:pPr>
              <w:autoSpaceDE w:val="0"/>
              <w:autoSpaceDN w:val="0"/>
              <w:adjustRightInd w:val="0"/>
              <w:jc w:val="both"/>
              <w:rPr>
                <w:rFonts w:eastAsiaTheme="minorHAnsi"/>
                <w:b/>
                <w:i/>
                <w:sz w:val="24"/>
                <w:szCs w:val="22"/>
              </w:rPr>
            </w:pPr>
            <w:proofErr w:type="gramStart"/>
            <w:r>
              <w:rPr>
                <w:rFonts w:eastAsiaTheme="minorHAnsi"/>
                <w:b/>
                <w:i/>
                <w:sz w:val="24"/>
                <w:szCs w:val="22"/>
              </w:rPr>
              <w:t>б</w:t>
            </w:r>
            <w:proofErr w:type="gramEnd"/>
            <w:r>
              <w:rPr>
                <w:rFonts w:eastAsiaTheme="minorHAnsi"/>
                <w:b/>
                <w:i/>
                <w:sz w:val="24"/>
                <w:szCs w:val="22"/>
              </w:rPr>
              <w:t xml:space="preserve">. </w:t>
            </w:r>
            <w:r w:rsidRPr="00E4158D">
              <w:rPr>
                <w:rFonts w:eastAsiaTheme="minorHAnsi"/>
                <w:b/>
                <w:i/>
                <w:sz w:val="24"/>
                <w:szCs w:val="22"/>
              </w:rPr>
              <w:t>О распределении прибыли и убытков Общества по результатам финансового года, о выплате (объявлении) дивидендов.</w:t>
            </w:r>
          </w:p>
          <w:p w:rsidR="00E4158D" w:rsidRPr="00E4158D" w:rsidRDefault="00E4158D" w:rsidP="00E4158D">
            <w:pPr>
              <w:autoSpaceDE w:val="0"/>
              <w:autoSpaceDN w:val="0"/>
              <w:adjustRightInd w:val="0"/>
              <w:jc w:val="both"/>
              <w:rPr>
                <w:rFonts w:eastAsiaTheme="minorHAnsi"/>
                <w:b/>
                <w:i/>
                <w:sz w:val="24"/>
                <w:szCs w:val="22"/>
              </w:rPr>
            </w:pPr>
            <w:r>
              <w:rPr>
                <w:rFonts w:eastAsiaTheme="minorHAnsi"/>
                <w:b/>
                <w:i/>
                <w:sz w:val="24"/>
                <w:szCs w:val="22"/>
              </w:rPr>
              <w:t xml:space="preserve">в. </w:t>
            </w:r>
            <w:r w:rsidRPr="00E4158D">
              <w:rPr>
                <w:rFonts w:eastAsiaTheme="minorHAnsi"/>
                <w:b/>
                <w:i/>
                <w:sz w:val="24"/>
                <w:szCs w:val="22"/>
              </w:rPr>
              <w:t>Определение количественного состава Совета директоров.</w:t>
            </w:r>
          </w:p>
          <w:p w:rsidR="005F5800" w:rsidRPr="00E4158D" w:rsidRDefault="00E4158D" w:rsidP="00E4158D">
            <w:pPr>
              <w:autoSpaceDE w:val="0"/>
              <w:autoSpaceDN w:val="0"/>
              <w:adjustRightInd w:val="0"/>
              <w:jc w:val="both"/>
              <w:rPr>
                <w:rFonts w:eastAsiaTheme="minorHAnsi"/>
                <w:b/>
                <w:i/>
                <w:sz w:val="24"/>
                <w:szCs w:val="22"/>
              </w:rPr>
            </w:pPr>
            <w:r>
              <w:rPr>
                <w:rFonts w:eastAsiaTheme="minorHAnsi"/>
                <w:b/>
                <w:i/>
                <w:sz w:val="24"/>
                <w:szCs w:val="22"/>
              </w:rPr>
              <w:t xml:space="preserve">г. </w:t>
            </w:r>
            <w:r w:rsidRPr="00E4158D">
              <w:rPr>
                <w:rFonts w:eastAsiaTheme="minorHAnsi"/>
                <w:b/>
                <w:i/>
                <w:sz w:val="24"/>
                <w:szCs w:val="22"/>
              </w:rPr>
              <w:t>Избрание членов Совета директоров Общества.</w:t>
            </w:r>
          </w:p>
          <w:p w:rsidR="005F5800" w:rsidRPr="00E4158D" w:rsidRDefault="005F5800" w:rsidP="005F5800">
            <w:pPr>
              <w:autoSpaceDE w:val="0"/>
              <w:autoSpaceDN w:val="0"/>
              <w:adjustRightInd w:val="0"/>
              <w:jc w:val="both"/>
              <w:rPr>
                <w:rFonts w:eastAsiaTheme="minorHAnsi"/>
                <w:b/>
                <w:i/>
                <w:sz w:val="24"/>
                <w:szCs w:val="22"/>
                <w:highlight w:val="yellow"/>
              </w:rPr>
            </w:pPr>
            <w:r>
              <w:rPr>
                <w:rFonts w:eastAsiaTheme="minorHAnsi"/>
                <w:sz w:val="24"/>
                <w:szCs w:val="22"/>
              </w:rPr>
              <w:t xml:space="preserve">2.9. </w:t>
            </w:r>
            <w:proofErr w:type="gramStart"/>
            <w:r>
              <w:rPr>
                <w:rFonts w:eastAsiaTheme="minorHAnsi"/>
                <w:sz w:val="24"/>
                <w:szCs w:val="22"/>
              </w:rPr>
              <w:t>П</w:t>
            </w:r>
            <w:r w:rsidRPr="005F5800">
              <w:rPr>
                <w:rFonts w:eastAsiaTheme="minorHAnsi"/>
                <w:sz w:val="24"/>
                <w:szCs w:val="22"/>
              </w:rPr>
              <w:t xml:space="preserve">орядок ознакомления с информацией (материалами), подлежащей (подлежащими) </w:t>
            </w:r>
            <w:r w:rsidRPr="005F5800">
              <w:rPr>
                <w:rFonts w:eastAsiaTheme="minorHAnsi"/>
                <w:sz w:val="24"/>
                <w:szCs w:val="22"/>
              </w:rPr>
              <w:lastRenderedPageBreak/>
              <w:t>предоставлению при подготовке к проведению общего собрания акционеров, и адрес, по ко</w:t>
            </w:r>
            <w:r w:rsidR="00E4158D">
              <w:rPr>
                <w:rFonts w:eastAsiaTheme="minorHAnsi"/>
                <w:sz w:val="24"/>
                <w:szCs w:val="22"/>
              </w:rPr>
              <w:t xml:space="preserve">торому с ней можно ознакомиться: </w:t>
            </w:r>
            <w:r w:rsidR="00E4158D" w:rsidRPr="00E4158D">
              <w:rPr>
                <w:rFonts w:eastAsiaTheme="minorHAnsi"/>
                <w:b/>
                <w:i/>
                <w:sz w:val="24"/>
                <w:szCs w:val="22"/>
              </w:rPr>
              <w:t>сообщение о проведении общего собрания акционеров направить лицам, имеющих право на участие в общем собрании акционеров и зарегистрированных в реестре акционеров общества, путем направления заказных писем или вручением под роспись, не позднее 25.05.2022.</w:t>
            </w:r>
            <w:proofErr w:type="gramEnd"/>
          </w:p>
          <w:p w:rsidR="00E4158D" w:rsidRPr="00E4158D" w:rsidRDefault="00E4158D" w:rsidP="00E4158D">
            <w:pPr>
              <w:autoSpaceDE w:val="0"/>
              <w:autoSpaceDN w:val="0"/>
              <w:adjustRightInd w:val="0"/>
              <w:jc w:val="both"/>
              <w:rPr>
                <w:rFonts w:eastAsiaTheme="minorHAnsi"/>
                <w:b/>
                <w:i/>
                <w:sz w:val="24"/>
                <w:szCs w:val="22"/>
              </w:rPr>
            </w:pPr>
            <w:proofErr w:type="gramStart"/>
            <w:r w:rsidRPr="00E4158D">
              <w:rPr>
                <w:rFonts w:eastAsiaTheme="minorHAnsi"/>
                <w:b/>
                <w:i/>
                <w:sz w:val="24"/>
                <w:szCs w:val="22"/>
              </w:rPr>
              <w:t>В</w:t>
            </w:r>
            <w:r w:rsidRPr="00E4158D">
              <w:rPr>
                <w:rFonts w:eastAsiaTheme="minorHAnsi"/>
                <w:b/>
                <w:i/>
                <w:sz w:val="24"/>
                <w:szCs w:val="22"/>
              </w:rPr>
              <w:t xml:space="preserve"> перечень информации (материалов), предоставляемой акционерам Общества при подготовке к проведению Годового общего собрания акционеров, </w:t>
            </w:r>
            <w:r w:rsidRPr="00E4158D">
              <w:rPr>
                <w:rFonts w:eastAsiaTheme="minorHAnsi"/>
                <w:b/>
                <w:i/>
                <w:sz w:val="24"/>
                <w:szCs w:val="22"/>
              </w:rPr>
              <w:t xml:space="preserve">включены </w:t>
            </w:r>
            <w:r w:rsidRPr="00E4158D">
              <w:rPr>
                <w:rFonts w:eastAsiaTheme="minorHAnsi"/>
                <w:b/>
                <w:i/>
                <w:sz w:val="24"/>
                <w:szCs w:val="22"/>
              </w:rPr>
              <w:t>следующие документы:</w:t>
            </w:r>
            <w:proofErr w:type="gramEnd"/>
          </w:p>
          <w:p w:rsidR="00E4158D" w:rsidRPr="00E4158D" w:rsidRDefault="00E4158D" w:rsidP="00E4158D">
            <w:pPr>
              <w:autoSpaceDE w:val="0"/>
              <w:autoSpaceDN w:val="0"/>
              <w:adjustRightInd w:val="0"/>
              <w:jc w:val="both"/>
              <w:rPr>
                <w:rFonts w:eastAsiaTheme="minorHAnsi"/>
                <w:b/>
                <w:i/>
                <w:sz w:val="24"/>
                <w:szCs w:val="22"/>
              </w:rPr>
            </w:pPr>
            <w:r w:rsidRPr="00E4158D">
              <w:rPr>
                <w:rFonts w:eastAsiaTheme="minorHAnsi"/>
                <w:b/>
                <w:i/>
                <w:sz w:val="24"/>
                <w:szCs w:val="22"/>
              </w:rPr>
              <w:t>•</w:t>
            </w:r>
            <w:r w:rsidRPr="00E4158D">
              <w:rPr>
                <w:rFonts w:eastAsiaTheme="minorHAnsi"/>
                <w:b/>
                <w:i/>
                <w:sz w:val="24"/>
                <w:szCs w:val="22"/>
              </w:rPr>
              <w:tab/>
              <w:t>Протокол заседания Совета директоров №09 СД/2022 от 27.04.2022;</w:t>
            </w:r>
          </w:p>
          <w:p w:rsidR="00E4158D" w:rsidRPr="00E4158D" w:rsidRDefault="00E4158D" w:rsidP="00E4158D">
            <w:pPr>
              <w:autoSpaceDE w:val="0"/>
              <w:autoSpaceDN w:val="0"/>
              <w:adjustRightInd w:val="0"/>
              <w:jc w:val="both"/>
              <w:rPr>
                <w:rFonts w:eastAsiaTheme="minorHAnsi"/>
                <w:b/>
                <w:i/>
                <w:sz w:val="24"/>
                <w:szCs w:val="22"/>
              </w:rPr>
            </w:pPr>
            <w:r w:rsidRPr="00E4158D">
              <w:rPr>
                <w:rFonts w:eastAsiaTheme="minorHAnsi"/>
                <w:b/>
                <w:i/>
                <w:sz w:val="24"/>
                <w:szCs w:val="22"/>
              </w:rPr>
              <w:t>•</w:t>
            </w:r>
            <w:r w:rsidRPr="00E4158D">
              <w:rPr>
                <w:rFonts w:eastAsiaTheme="minorHAnsi"/>
                <w:b/>
                <w:i/>
                <w:sz w:val="24"/>
                <w:szCs w:val="22"/>
              </w:rPr>
              <w:tab/>
              <w:t>Протокол настоящего заседания Совета директоров (содержащий рекомендации Совета директоров Общества по распределению прибыли и убытков Общества по результатам финансового года);</w:t>
            </w:r>
          </w:p>
          <w:p w:rsidR="00E4158D" w:rsidRPr="00E4158D" w:rsidRDefault="00E4158D" w:rsidP="00E4158D">
            <w:pPr>
              <w:autoSpaceDE w:val="0"/>
              <w:autoSpaceDN w:val="0"/>
              <w:adjustRightInd w:val="0"/>
              <w:jc w:val="both"/>
              <w:rPr>
                <w:rFonts w:eastAsiaTheme="minorHAnsi"/>
                <w:b/>
                <w:i/>
                <w:sz w:val="24"/>
                <w:szCs w:val="22"/>
              </w:rPr>
            </w:pPr>
            <w:r w:rsidRPr="00E4158D">
              <w:rPr>
                <w:rFonts w:eastAsiaTheme="minorHAnsi"/>
                <w:b/>
                <w:i/>
                <w:sz w:val="24"/>
                <w:szCs w:val="22"/>
              </w:rPr>
              <w:t>•</w:t>
            </w:r>
            <w:r w:rsidRPr="00E4158D">
              <w:rPr>
                <w:rFonts w:eastAsiaTheme="minorHAnsi"/>
                <w:b/>
                <w:i/>
                <w:sz w:val="24"/>
                <w:szCs w:val="22"/>
              </w:rPr>
              <w:tab/>
              <w:t>Годовой отчет Общества за 2021 г.;</w:t>
            </w:r>
          </w:p>
          <w:p w:rsidR="00E4158D" w:rsidRPr="00E4158D" w:rsidRDefault="00E4158D" w:rsidP="00E4158D">
            <w:pPr>
              <w:autoSpaceDE w:val="0"/>
              <w:autoSpaceDN w:val="0"/>
              <w:adjustRightInd w:val="0"/>
              <w:jc w:val="both"/>
              <w:rPr>
                <w:rFonts w:eastAsiaTheme="minorHAnsi"/>
                <w:b/>
                <w:i/>
                <w:sz w:val="24"/>
                <w:szCs w:val="22"/>
              </w:rPr>
            </w:pPr>
            <w:r w:rsidRPr="00E4158D">
              <w:rPr>
                <w:rFonts w:eastAsiaTheme="minorHAnsi"/>
                <w:b/>
                <w:i/>
                <w:sz w:val="24"/>
                <w:szCs w:val="22"/>
              </w:rPr>
              <w:t>•</w:t>
            </w:r>
            <w:r w:rsidRPr="00E4158D">
              <w:rPr>
                <w:rFonts w:eastAsiaTheme="minorHAnsi"/>
                <w:b/>
                <w:i/>
                <w:sz w:val="24"/>
                <w:szCs w:val="22"/>
              </w:rPr>
              <w:tab/>
              <w:t>Годовая бухгалтерская (финансовая) отчетность, в том числе заключение аудитора;</w:t>
            </w:r>
          </w:p>
          <w:p w:rsidR="00E4158D" w:rsidRPr="00E4158D" w:rsidRDefault="00E4158D" w:rsidP="00E4158D">
            <w:pPr>
              <w:autoSpaceDE w:val="0"/>
              <w:autoSpaceDN w:val="0"/>
              <w:adjustRightInd w:val="0"/>
              <w:jc w:val="both"/>
              <w:rPr>
                <w:rFonts w:eastAsiaTheme="minorHAnsi"/>
                <w:b/>
                <w:i/>
                <w:sz w:val="24"/>
                <w:szCs w:val="22"/>
              </w:rPr>
            </w:pPr>
            <w:r w:rsidRPr="00E4158D">
              <w:rPr>
                <w:rFonts w:eastAsiaTheme="minorHAnsi"/>
                <w:b/>
                <w:i/>
                <w:sz w:val="24"/>
                <w:szCs w:val="22"/>
              </w:rPr>
              <w:t>•</w:t>
            </w:r>
            <w:r w:rsidRPr="00E4158D">
              <w:rPr>
                <w:rFonts w:eastAsiaTheme="minorHAnsi"/>
                <w:b/>
                <w:i/>
                <w:sz w:val="24"/>
                <w:szCs w:val="22"/>
              </w:rPr>
              <w:tab/>
              <w:t>Сведения о кандидатах на должность члена Совета директоров Общества;</w:t>
            </w:r>
          </w:p>
          <w:p w:rsidR="00E4158D" w:rsidRPr="00E4158D" w:rsidRDefault="00E4158D" w:rsidP="00E4158D">
            <w:pPr>
              <w:autoSpaceDE w:val="0"/>
              <w:autoSpaceDN w:val="0"/>
              <w:adjustRightInd w:val="0"/>
              <w:jc w:val="both"/>
              <w:rPr>
                <w:rFonts w:eastAsiaTheme="minorHAnsi"/>
                <w:b/>
                <w:i/>
                <w:sz w:val="24"/>
                <w:szCs w:val="22"/>
              </w:rPr>
            </w:pPr>
            <w:r w:rsidRPr="00E4158D">
              <w:rPr>
                <w:rFonts w:eastAsiaTheme="minorHAnsi"/>
                <w:b/>
                <w:i/>
                <w:sz w:val="24"/>
                <w:szCs w:val="22"/>
              </w:rPr>
              <w:t>•</w:t>
            </w:r>
            <w:r w:rsidRPr="00E4158D">
              <w:rPr>
                <w:rFonts w:eastAsiaTheme="minorHAnsi"/>
                <w:b/>
                <w:i/>
                <w:sz w:val="24"/>
                <w:szCs w:val="22"/>
              </w:rPr>
              <w:tab/>
              <w:t>Информация о наличии или отсутствии письменного согласия выдвинутых кандидатов на должность членов Совета директоров;</w:t>
            </w:r>
          </w:p>
          <w:p w:rsidR="00E4158D" w:rsidRPr="00E4158D" w:rsidRDefault="00E4158D" w:rsidP="00E4158D">
            <w:pPr>
              <w:autoSpaceDE w:val="0"/>
              <w:autoSpaceDN w:val="0"/>
              <w:adjustRightInd w:val="0"/>
              <w:jc w:val="both"/>
              <w:rPr>
                <w:rFonts w:eastAsiaTheme="minorHAnsi"/>
                <w:b/>
                <w:i/>
                <w:sz w:val="24"/>
                <w:szCs w:val="22"/>
              </w:rPr>
            </w:pPr>
            <w:r w:rsidRPr="00E4158D">
              <w:rPr>
                <w:rFonts w:eastAsiaTheme="minorHAnsi"/>
                <w:b/>
                <w:i/>
                <w:sz w:val="24"/>
                <w:szCs w:val="22"/>
              </w:rPr>
              <w:t>•</w:t>
            </w:r>
            <w:r w:rsidRPr="00E4158D">
              <w:rPr>
                <w:rFonts w:eastAsiaTheme="minorHAnsi"/>
                <w:b/>
                <w:i/>
                <w:sz w:val="24"/>
                <w:szCs w:val="22"/>
              </w:rPr>
              <w:tab/>
              <w:t>Проекты решений общего собрания акционеров.</w:t>
            </w:r>
          </w:p>
          <w:p w:rsidR="005F5800" w:rsidRPr="00E4158D" w:rsidRDefault="00E4158D" w:rsidP="00E4158D">
            <w:pPr>
              <w:autoSpaceDE w:val="0"/>
              <w:autoSpaceDN w:val="0"/>
              <w:adjustRightInd w:val="0"/>
              <w:jc w:val="both"/>
              <w:rPr>
                <w:rFonts w:eastAsiaTheme="minorHAnsi"/>
                <w:b/>
                <w:i/>
                <w:sz w:val="24"/>
                <w:szCs w:val="22"/>
                <w:highlight w:val="yellow"/>
              </w:rPr>
            </w:pPr>
            <w:r w:rsidRPr="00E4158D">
              <w:rPr>
                <w:rFonts w:eastAsiaTheme="minorHAnsi"/>
                <w:b/>
                <w:i/>
                <w:sz w:val="24"/>
                <w:szCs w:val="22"/>
              </w:rPr>
              <w:t>•</w:t>
            </w:r>
            <w:r w:rsidRPr="00E4158D">
              <w:rPr>
                <w:rFonts w:eastAsiaTheme="minorHAnsi"/>
                <w:b/>
                <w:i/>
                <w:sz w:val="24"/>
                <w:szCs w:val="22"/>
              </w:rPr>
              <w:tab/>
              <w:t>определить порядок ознакомления с указанной информацией (материалами): ознакомиться с указанными документами можно ежедневно с 25.05.2022  по дату проведения Годового общего собрания включительно по адресу: 121151, г. Москва, набережная Тараса Шевченко, д. 23А, этаж 19, пом. I, комната 13.</w:t>
            </w:r>
          </w:p>
          <w:p w:rsidR="006043B3" w:rsidRPr="00E4158D" w:rsidRDefault="00E4158D" w:rsidP="005B5261">
            <w:pPr>
              <w:autoSpaceDE w:val="0"/>
              <w:autoSpaceDN w:val="0"/>
              <w:adjustRightInd w:val="0"/>
              <w:jc w:val="both"/>
              <w:rPr>
                <w:rFonts w:eastAsiaTheme="minorHAnsi"/>
                <w:sz w:val="24"/>
                <w:szCs w:val="22"/>
                <w:highlight w:val="yellow"/>
              </w:rPr>
            </w:pPr>
            <w:proofErr w:type="gramStart"/>
            <w:r>
              <w:rPr>
                <w:rFonts w:eastAsiaTheme="minorHAnsi"/>
                <w:sz w:val="24"/>
                <w:szCs w:val="22"/>
              </w:rPr>
              <w:t xml:space="preserve">2.10. </w:t>
            </w:r>
            <w:proofErr w:type="gramEnd"/>
            <w:r>
              <w:rPr>
                <w:rFonts w:eastAsiaTheme="minorHAnsi"/>
                <w:sz w:val="24"/>
                <w:szCs w:val="22"/>
              </w:rPr>
              <w:t>Д</w:t>
            </w:r>
            <w:r w:rsidRPr="00E4158D">
              <w:rPr>
                <w:rFonts w:eastAsiaTheme="minorHAnsi"/>
                <w:sz w:val="24"/>
                <w:szCs w:val="22"/>
              </w:rPr>
              <w:t>ата составления протокола (дата истечения срока, установленного законодательством Российской Федерации для составления протокола) заседания совета директоров (наблюдательного совета) акционерного общества, на котором принято решение об определении (утверждении) повестки дня общего собрания акционеров, в случае если оно принимается позднее решения о проведении (созыве) общего собрания</w:t>
            </w:r>
            <w:r>
              <w:rPr>
                <w:rFonts w:eastAsiaTheme="minorHAnsi"/>
                <w:sz w:val="24"/>
                <w:szCs w:val="22"/>
              </w:rPr>
              <w:t xml:space="preserve">: </w:t>
            </w:r>
            <w:r w:rsidRPr="00E4158D">
              <w:rPr>
                <w:rFonts w:eastAsiaTheme="minorHAnsi"/>
                <w:b/>
                <w:i/>
                <w:sz w:val="24"/>
                <w:szCs w:val="22"/>
              </w:rPr>
              <w:t>15.05.2022.</w:t>
            </w:r>
          </w:p>
        </w:tc>
      </w:tr>
    </w:tbl>
    <w:p w:rsidR="006043B3" w:rsidRPr="006043B3" w:rsidRDefault="006043B3" w:rsidP="006043B3">
      <w:pPr>
        <w:pStyle w:val="prilozhenie"/>
        <w:rPr>
          <w:szCs w:val="22"/>
          <w:highlight w:val="yellow"/>
        </w:rPr>
      </w:pPr>
    </w:p>
    <w:tbl>
      <w:tblPr>
        <w:tblW w:w="9581" w:type="dxa"/>
        <w:tblLook w:val="00A0" w:firstRow="1" w:lastRow="0" w:firstColumn="1" w:lastColumn="0" w:noHBand="0" w:noVBand="0"/>
      </w:tblPr>
      <w:tblGrid>
        <w:gridCol w:w="9581"/>
      </w:tblGrid>
      <w:tr w:rsidR="006043B3" w:rsidRPr="00E4158D" w:rsidTr="005B5261">
        <w:trPr>
          <w:trHeight w:val="229"/>
        </w:trPr>
        <w:tc>
          <w:tcPr>
            <w:tcW w:w="9581" w:type="dxa"/>
            <w:tcBorders>
              <w:top w:val="single" w:sz="4" w:space="0" w:color="auto"/>
              <w:left w:val="single" w:sz="4" w:space="0" w:color="auto"/>
              <w:bottom w:val="single" w:sz="4" w:space="0" w:color="auto"/>
              <w:right w:val="single" w:sz="4" w:space="0" w:color="auto"/>
            </w:tcBorders>
          </w:tcPr>
          <w:p w:rsidR="006043B3" w:rsidRPr="00E4158D" w:rsidRDefault="006043B3" w:rsidP="005B5261">
            <w:pPr>
              <w:pStyle w:val="prilozhenie"/>
              <w:ind w:firstLine="0"/>
              <w:jc w:val="center"/>
              <w:rPr>
                <w:szCs w:val="22"/>
              </w:rPr>
            </w:pPr>
            <w:r w:rsidRPr="00E4158D">
              <w:rPr>
                <w:szCs w:val="22"/>
              </w:rPr>
              <w:t>3. Подпись</w:t>
            </w:r>
          </w:p>
        </w:tc>
      </w:tr>
      <w:tr w:rsidR="006043B3" w:rsidRPr="002E28B1" w:rsidTr="005B5261">
        <w:trPr>
          <w:trHeight w:val="933"/>
        </w:trPr>
        <w:tc>
          <w:tcPr>
            <w:tcW w:w="9581" w:type="dxa"/>
            <w:tcBorders>
              <w:top w:val="single" w:sz="4" w:space="0" w:color="auto"/>
              <w:left w:val="single" w:sz="4" w:space="0" w:color="auto"/>
              <w:bottom w:val="single" w:sz="4" w:space="0" w:color="auto"/>
              <w:right w:val="single" w:sz="4" w:space="0" w:color="auto"/>
            </w:tcBorders>
          </w:tcPr>
          <w:p w:rsidR="006043B3" w:rsidRPr="00E4158D" w:rsidRDefault="006043B3" w:rsidP="005B5261">
            <w:pPr>
              <w:pStyle w:val="prilozhenie"/>
              <w:ind w:firstLine="0"/>
              <w:rPr>
                <w:szCs w:val="22"/>
              </w:rPr>
            </w:pPr>
            <w:r w:rsidRPr="00E4158D">
              <w:rPr>
                <w:szCs w:val="22"/>
              </w:rPr>
              <w:t xml:space="preserve">3.1. Генеральный директор </w:t>
            </w:r>
          </w:p>
          <w:p w:rsidR="006043B3" w:rsidRPr="00E4158D" w:rsidRDefault="006043B3" w:rsidP="005B5261">
            <w:pPr>
              <w:pStyle w:val="prilozhenie"/>
              <w:ind w:firstLine="0"/>
              <w:rPr>
                <w:szCs w:val="22"/>
              </w:rPr>
            </w:pPr>
            <w:r w:rsidRPr="00E4158D">
              <w:rPr>
                <w:szCs w:val="22"/>
              </w:rPr>
              <w:t>АО «</w:t>
            </w:r>
            <w:proofErr w:type="spellStart"/>
            <w:r w:rsidRPr="00E4158D">
              <w:rPr>
                <w:szCs w:val="22"/>
              </w:rPr>
              <w:t>Трежери</w:t>
            </w:r>
            <w:proofErr w:type="spellEnd"/>
            <w:r w:rsidRPr="00E4158D">
              <w:rPr>
                <w:szCs w:val="22"/>
              </w:rPr>
              <w:t xml:space="preserve"> Инвест»                                         ______________                        Р.В. </w:t>
            </w:r>
            <w:proofErr w:type="spellStart"/>
            <w:r w:rsidRPr="00E4158D">
              <w:rPr>
                <w:szCs w:val="22"/>
              </w:rPr>
              <w:t>Шуков</w:t>
            </w:r>
            <w:proofErr w:type="spellEnd"/>
          </w:p>
          <w:p w:rsidR="006043B3" w:rsidRPr="00E4158D" w:rsidRDefault="006043B3" w:rsidP="005B5261">
            <w:pPr>
              <w:pStyle w:val="prilozhenie"/>
              <w:ind w:firstLine="0"/>
              <w:rPr>
                <w:szCs w:val="22"/>
              </w:rPr>
            </w:pPr>
          </w:p>
          <w:p w:rsidR="006043B3" w:rsidRPr="002E28B1" w:rsidRDefault="006043B3" w:rsidP="005B5261">
            <w:pPr>
              <w:pStyle w:val="prilozhenie"/>
              <w:ind w:firstLine="0"/>
              <w:jc w:val="left"/>
              <w:rPr>
                <w:szCs w:val="22"/>
              </w:rPr>
            </w:pPr>
            <w:r w:rsidRPr="00E4158D">
              <w:rPr>
                <w:szCs w:val="22"/>
              </w:rPr>
              <w:t>3.2. «15» мая 2022 г.                                               М.П.</w:t>
            </w:r>
          </w:p>
        </w:tc>
      </w:tr>
    </w:tbl>
    <w:p w:rsidR="006043B3" w:rsidRPr="002E28B1" w:rsidRDefault="006043B3" w:rsidP="00E4158D">
      <w:pPr>
        <w:rPr>
          <w:sz w:val="22"/>
        </w:rPr>
      </w:pPr>
      <w:bookmarkStart w:id="0" w:name="_GoBack"/>
      <w:bookmarkEnd w:id="0"/>
    </w:p>
    <w:sectPr w:rsidR="006043B3" w:rsidRPr="002E28B1" w:rsidSect="00797E9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B3"/>
    <w:rsid w:val="001A6B06"/>
    <w:rsid w:val="005F5800"/>
    <w:rsid w:val="006043B3"/>
    <w:rsid w:val="00632294"/>
    <w:rsid w:val="00681BA1"/>
    <w:rsid w:val="00E4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3B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043B3"/>
    <w:pPr>
      <w:ind w:firstLine="709"/>
      <w:jc w:val="both"/>
    </w:pPr>
    <w:rPr>
      <w:sz w:val="24"/>
      <w:szCs w:val="24"/>
    </w:rPr>
  </w:style>
  <w:style w:type="character" w:styleId="a3">
    <w:name w:val="Hyperlink"/>
    <w:uiPriority w:val="99"/>
    <w:rsid w:val="006043B3"/>
    <w:rPr>
      <w:color w:val="0000FF"/>
      <w:u w:val="single"/>
    </w:rPr>
  </w:style>
  <w:style w:type="table" w:styleId="a4">
    <w:name w:val="Table Grid"/>
    <w:basedOn w:val="a1"/>
    <w:rsid w:val="00604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3B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043B3"/>
    <w:pPr>
      <w:ind w:firstLine="709"/>
      <w:jc w:val="both"/>
    </w:pPr>
    <w:rPr>
      <w:sz w:val="24"/>
      <w:szCs w:val="24"/>
    </w:rPr>
  </w:style>
  <w:style w:type="character" w:styleId="a3">
    <w:name w:val="Hyperlink"/>
    <w:uiPriority w:val="99"/>
    <w:rsid w:val="006043B3"/>
    <w:rPr>
      <w:color w:val="0000FF"/>
      <w:u w:val="single"/>
    </w:rPr>
  </w:style>
  <w:style w:type="table" w:styleId="a4">
    <w:name w:val="Table Grid"/>
    <w:basedOn w:val="a1"/>
    <w:rsid w:val="00604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easuryinvest.ru/" TargetMode="Externa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3023</TotalTime>
  <Pages>2</Pages>
  <Words>727</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2022-05-13T16:37:00Z</dcterms:created>
  <dcterms:modified xsi:type="dcterms:W3CDTF">2022-05-15T19:00:00Z</dcterms:modified>
</cp:coreProperties>
</file>