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EBC" w:rsidRDefault="005123CE" w:rsidP="00F03EBC">
      <w:pPr>
        <w:jc w:val="center"/>
        <w:rPr>
          <w:b/>
          <w:bCs/>
          <w:sz w:val="23"/>
          <w:szCs w:val="23"/>
        </w:rPr>
      </w:pPr>
      <w:r w:rsidRPr="005123CE">
        <w:rPr>
          <w:b/>
          <w:bCs/>
          <w:sz w:val="23"/>
          <w:szCs w:val="23"/>
        </w:rPr>
        <w:t>Итоги размещения дополнительных акций на первом этапе</w:t>
      </w:r>
    </w:p>
    <w:p w:rsidR="005123CE" w:rsidRPr="00F03EBC" w:rsidRDefault="005123CE" w:rsidP="00F03EBC">
      <w:pPr>
        <w:jc w:val="center"/>
        <w:rPr>
          <w:b/>
          <w:sz w:val="22"/>
          <w:szCs w:val="22"/>
        </w:rPr>
      </w:pPr>
    </w:p>
    <w:tbl>
      <w:tblPr>
        <w:tblStyle w:val="a4"/>
        <w:tblW w:w="9648" w:type="dxa"/>
        <w:jc w:val="center"/>
        <w:tblLook w:val="00A0" w:firstRow="1" w:lastRow="0" w:firstColumn="1" w:lastColumn="0" w:noHBand="0" w:noVBand="0"/>
      </w:tblPr>
      <w:tblGrid>
        <w:gridCol w:w="9648"/>
      </w:tblGrid>
      <w:tr w:rsidR="00F03EBC" w:rsidRPr="00F03EBC" w:rsidTr="00AE1890">
        <w:trPr>
          <w:trHeight w:val="345"/>
          <w:jc w:val="center"/>
        </w:trPr>
        <w:tc>
          <w:tcPr>
            <w:tcW w:w="9648" w:type="dxa"/>
          </w:tcPr>
          <w:p w:rsidR="00F03EBC" w:rsidRPr="00F03EBC" w:rsidRDefault="00F03EBC" w:rsidP="00AE1890">
            <w:pPr>
              <w:pStyle w:val="prilozhenie"/>
              <w:ind w:firstLine="0"/>
              <w:jc w:val="center"/>
              <w:rPr>
                <w:sz w:val="22"/>
                <w:szCs w:val="22"/>
              </w:rPr>
            </w:pPr>
            <w:r w:rsidRPr="00F03EBC">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F03EBC" w:rsidRPr="00F03EBC" w:rsidTr="00AE1890">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F03EBC" w:rsidRPr="00F03EBC" w:rsidRDefault="00F03EBC" w:rsidP="00AE1890">
            <w:r w:rsidRPr="00F03EBC">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F03EBC" w:rsidRPr="00F03EBC" w:rsidRDefault="00F03EBC" w:rsidP="00AE1890">
            <w:pPr>
              <w:spacing w:line="276" w:lineRule="auto"/>
              <w:ind w:left="57"/>
              <w:rPr>
                <w:b/>
                <w:i/>
                <w:sz w:val="22"/>
                <w:szCs w:val="22"/>
              </w:rPr>
            </w:pPr>
            <w:r w:rsidRPr="00F03EBC">
              <w:rPr>
                <w:b/>
                <w:i/>
                <w:sz w:val="22"/>
                <w:szCs w:val="22"/>
              </w:rPr>
              <w:t>Акционерное общество «</w:t>
            </w:r>
            <w:proofErr w:type="spellStart"/>
            <w:r w:rsidRPr="00F03EBC">
              <w:rPr>
                <w:b/>
                <w:i/>
                <w:sz w:val="22"/>
                <w:szCs w:val="22"/>
              </w:rPr>
              <w:t>Трежери</w:t>
            </w:r>
            <w:proofErr w:type="spellEnd"/>
            <w:r w:rsidRPr="00F03EBC">
              <w:rPr>
                <w:b/>
                <w:i/>
                <w:sz w:val="22"/>
                <w:szCs w:val="22"/>
              </w:rPr>
              <w:t xml:space="preserve"> Инвест»</w:t>
            </w:r>
          </w:p>
        </w:tc>
      </w:tr>
      <w:tr w:rsidR="00F03EBC" w:rsidRPr="00F03EBC" w:rsidTr="00AE1890">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F03EBC" w:rsidRPr="00F03EBC" w:rsidRDefault="00F03EBC" w:rsidP="00AE1890">
            <w:r w:rsidRPr="00F03EBC">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F03EBC" w:rsidRPr="00F03EBC" w:rsidRDefault="00F03EBC" w:rsidP="00AE1890">
            <w:pPr>
              <w:spacing w:line="276" w:lineRule="auto"/>
              <w:ind w:left="57"/>
              <w:rPr>
                <w:b/>
                <w:i/>
                <w:sz w:val="22"/>
                <w:szCs w:val="22"/>
              </w:rPr>
            </w:pPr>
            <w:r w:rsidRPr="00F03EBC">
              <w:rPr>
                <w:b/>
                <w:i/>
                <w:sz w:val="22"/>
                <w:szCs w:val="22"/>
              </w:rPr>
              <w:t>121151, г. Москва, наб. Тараса Шевченко, д. 23А, этаж 19, помещение I, комната 13</w:t>
            </w:r>
          </w:p>
        </w:tc>
      </w:tr>
      <w:tr w:rsidR="00F03EBC" w:rsidRPr="00F03EBC" w:rsidTr="00AE1890">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F03EBC" w:rsidRPr="00F03EBC" w:rsidRDefault="00F03EBC" w:rsidP="00AE1890">
            <w:r w:rsidRPr="00F03EBC">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F03EBC" w:rsidRPr="00F03EBC" w:rsidRDefault="00F03EBC" w:rsidP="00AE1890">
            <w:pPr>
              <w:spacing w:line="276" w:lineRule="auto"/>
              <w:ind w:left="57"/>
              <w:rPr>
                <w:b/>
                <w:i/>
                <w:sz w:val="22"/>
                <w:szCs w:val="22"/>
              </w:rPr>
            </w:pPr>
            <w:r w:rsidRPr="00F03EBC">
              <w:rPr>
                <w:b/>
                <w:i/>
                <w:sz w:val="22"/>
                <w:szCs w:val="22"/>
              </w:rPr>
              <w:t>1207700290137</w:t>
            </w:r>
          </w:p>
        </w:tc>
      </w:tr>
      <w:tr w:rsidR="00F03EBC" w:rsidRPr="00F03EBC" w:rsidTr="00AE1890">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F03EBC" w:rsidRPr="00F03EBC" w:rsidRDefault="00F03EBC" w:rsidP="00AE1890">
            <w:r w:rsidRPr="00F03EBC">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F03EBC" w:rsidRPr="00F03EBC" w:rsidRDefault="00F03EBC" w:rsidP="00AE1890">
            <w:pPr>
              <w:spacing w:line="276" w:lineRule="auto"/>
              <w:ind w:left="57"/>
              <w:rPr>
                <w:b/>
                <w:i/>
                <w:sz w:val="22"/>
                <w:szCs w:val="22"/>
              </w:rPr>
            </w:pPr>
            <w:r w:rsidRPr="00F03EBC">
              <w:rPr>
                <w:b/>
                <w:i/>
                <w:sz w:val="22"/>
                <w:szCs w:val="22"/>
              </w:rPr>
              <w:t>7730258615</w:t>
            </w:r>
          </w:p>
        </w:tc>
      </w:tr>
      <w:tr w:rsidR="00F03EBC" w:rsidRPr="00F03EBC" w:rsidTr="00AE1890">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F03EBC" w:rsidRPr="00F03EBC" w:rsidRDefault="00F03EBC" w:rsidP="00AE1890">
            <w:r w:rsidRPr="00F03EBC">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F03EBC" w:rsidRPr="00F03EBC" w:rsidRDefault="00F03EBC" w:rsidP="00AE1890">
            <w:pPr>
              <w:spacing w:line="276" w:lineRule="auto"/>
              <w:ind w:left="57"/>
              <w:rPr>
                <w:b/>
                <w:i/>
                <w:sz w:val="22"/>
                <w:szCs w:val="22"/>
              </w:rPr>
            </w:pPr>
            <w:r w:rsidRPr="00F03EBC">
              <w:rPr>
                <w:b/>
                <w:i/>
                <w:sz w:val="22"/>
                <w:szCs w:val="22"/>
              </w:rPr>
              <w:t>16675-А</w:t>
            </w:r>
          </w:p>
        </w:tc>
      </w:tr>
      <w:tr w:rsidR="00F03EBC" w:rsidRPr="00F03EBC" w:rsidTr="00AE1890">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F03EBC" w:rsidRPr="00F03EBC" w:rsidRDefault="00F03EBC" w:rsidP="00AE1890">
            <w:r w:rsidRPr="00F03EBC">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F03EBC" w:rsidRPr="00F03EBC" w:rsidRDefault="005123CE" w:rsidP="00AE1890">
            <w:pPr>
              <w:spacing w:line="276" w:lineRule="auto"/>
              <w:ind w:left="57"/>
              <w:rPr>
                <w:b/>
                <w:i/>
                <w:sz w:val="22"/>
                <w:szCs w:val="22"/>
              </w:rPr>
            </w:pPr>
            <w:hyperlink r:id="rId4" w:history="1">
              <w:r w:rsidR="00F03EBC" w:rsidRPr="00F03EBC">
                <w:rPr>
                  <w:rStyle w:val="a3"/>
                  <w:rFonts w:eastAsiaTheme="minorHAnsi"/>
                  <w:b/>
                  <w:i/>
                  <w:sz w:val="22"/>
                  <w:szCs w:val="22"/>
                </w:rPr>
                <w:t>http://www.e-disclosure.ru/portal/company.aspx?id=38255</w:t>
              </w:r>
            </w:hyperlink>
            <w:r w:rsidR="00F03EBC" w:rsidRPr="00F03EBC">
              <w:rPr>
                <w:rStyle w:val="a3"/>
                <w:b/>
                <w:i/>
                <w:sz w:val="22"/>
                <w:szCs w:val="22"/>
              </w:rPr>
              <w:t>;</w:t>
            </w:r>
            <w:r w:rsidR="00F03EBC" w:rsidRPr="00F03EBC">
              <w:t xml:space="preserve"> </w:t>
            </w:r>
            <w:r w:rsidR="00F03EBC" w:rsidRPr="00F03EBC">
              <w:rPr>
                <w:rStyle w:val="a3"/>
                <w:b/>
                <w:i/>
                <w:sz w:val="22"/>
                <w:szCs w:val="22"/>
              </w:rPr>
              <w:t>http://treasuryinvest.ru/</w:t>
            </w:r>
          </w:p>
        </w:tc>
      </w:tr>
      <w:tr w:rsidR="00F03EBC" w:rsidRPr="00F03EBC" w:rsidTr="00AE1890">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F03EBC" w:rsidRPr="00F03EBC" w:rsidRDefault="00F03EBC" w:rsidP="00AE1890">
            <w:r w:rsidRPr="00F03EBC">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F03EBC" w:rsidRPr="00F03EBC" w:rsidRDefault="005123CE" w:rsidP="00AE1890">
            <w:pPr>
              <w:spacing w:line="276" w:lineRule="auto"/>
              <w:ind w:left="57"/>
              <w:rPr>
                <w:b/>
                <w:i/>
                <w:sz w:val="22"/>
                <w:szCs w:val="22"/>
              </w:rPr>
            </w:pPr>
            <w:r>
              <w:rPr>
                <w:b/>
                <w:i/>
                <w:sz w:val="22"/>
                <w:szCs w:val="22"/>
              </w:rPr>
              <w:t>9</w:t>
            </w:r>
            <w:r w:rsidR="00F03EBC" w:rsidRPr="00F03EBC">
              <w:rPr>
                <w:b/>
                <w:i/>
                <w:sz w:val="22"/>
                <w:szCs w:val="22"/>
              </w:rPr>
              <w:t xml:space="preserve"> июля 2024 г.</w:t>
            </w:r>
          </w:p>
        </w:tc>
      </w:tr>
    </w:tbl>
    <w:p w:rsidR="00F03EBC" w:rsidRPr="00F03EBC" w:rsidRDefault="00F03EBC" w:rsidP="00F03EBC">
      <w:pPr>
        <w:pStyle w:val="prilozhenie"/>
        <w:rPr>
          <w:sz w:val="22"/>
          <w:szCs w:val="22"/>
          <w:highlight w:val="yellow"/>
        </w:rPr>
      </w:pPr>
    </w:p>
    <w:tbl>
      <w:tblPr>
        <w:tblW w:w="0" w:type="auto"/>
        <w:tblLook w:val="00A0" w:firstRow="1" w:lastRow="0" w:firstColumn="1" w:lastColumn="0" w:noHBand="0" w:noVBand="0"/>
      </w:tblPr>
      <w:tblGrid>
        <w:gridCol w:w="9345"/>
      </w:tblGrid>
      <w:tr w:rsidR="00F03EBC" w:rsidRPr="00F03EBC" w:rsidTr="00AE1890">
        <w:tc>
          <w:tcPr>
            <w:tcW w:w="0" w:type="auto"/>
            <w:tcBorders>
              <w:top w:val="single" w:sz="4" w:space="0" w:color="auto"/>
              <w:left w:val="single" w:sz="4" w:space="0" w:color="auto"/>
              <w:bottom w:val="single" w:sz="4" w:space="0" w:color="auto"/>
              <w:right w:val="single" w:sz="4" w:space="0" w:color="auto"/>
            </w:tcBorders>
          </w:tcPr>
          <w:p w:rsidR="00F03EBC" w:rsidRPr="00F03EBC" w:rsidRDefault="00F03EBC" w:rsidP="00AE1890">
            <w:pPr>
              <w:pStyle w:val="prilozhenie"/>
              <w:ind w:firstLine="0"/>
              <w:jc w:val="center"/>
              <w:rPr>
                <w:sz w:val="22"/>
                <w:szCs w:val="22"/>
              </w:rPr>
            </w:pPr>
            <w:r w:rsidRPr="00F03EBC">
              <w:rPr>
                <w:sz w:val="22"/>
                <w:szCs w:val="22"/>
              </w:rPr>
              <w:t>2. Содержание сообщения</w:t>
            </w:r>
          </w:p>
        </w:tc>
      </w:tr>
      <w:tr w:rsidR="00F03EBC" w:rsidRPr="00F03EBC" w:rsidTr="00AE1890">
        <w:tc>
          <w:tcPr>
            <w:tcW w:w="0" w:type="auto"/>
            <w:tcBorders>
              <w:top w:val="single" w:sz="4" w:space="0" w:color="auto"/>
              <w:left w:val="single" w:sz="4" w:space="0" w:color="auto"/>
              <w:bottom w:val="single" w:sz="4" w:space="0" w:color="auto"/>
              <w:right w:val="single" w:sz="4" w:space="0" w:color="auto"/>
            </w:tcBorders>
          </w:tcPr>
          <w:p w:rsidR="005123CE" w:rsidRPr="005123CE" w:rsidRDefault="005123CE" w:rsidP="005123CE">
            <w:pPr>
              <w:autoSpaceDE w:val="0"/>
              <w:autoSpaceDN w:val="0"/>
              <w:adjustRightInd w:val="0"/>
              <w:jc w:val="both"/>
              <w:rPr>
                <w:rFonts w:eastAsiaTheme="minorHAnsi"/>
                <w:sz w:val="22"/>
                <w:szCs w:val="22"/>
              </w:rPr>
            </w:pPr>
            <w:r w:rsidRPr="005123CE">
              <w:rPr>
                <w:rFonts w:eastAsiaTheme="minorHAnsi"/>
                <w:sz w:val="22"/>
                <w:szCs w:val="22"/>
              </w:rPr>
              <w:t>Советом директоров Акционерного общества «</w:t>
            </w:r>
            <w:proofErr w:type="spellStart"/>
            <w:r w:rsidRPr="005123CE">
              <w:rPr>
                <w:rFonts w:eastAsiaTheme="minorHAnsi"/>
                <w:sz w:val="22"/>
                <w:szCs w:val="22"/>
              </w:rPr>
              <w:t>Трежери</w:t>
            </w:r>
            <w:proofErr w:type="spellEnd"/>
            <w:r w:rsidRPr="005123CE">
              <w:rPr>
                <w:rFonts w:eastAsiaTheme="minorHAnsi"/>
                <w:sz w:val="22"/>
                <w:szCs w:val="22"/>
              </w:rPr>
              <w:t xml:space="preserve"> Инвест» (далее – Общество) 28.02.2024 (Протокол № 17 СД/2024) было принято решение об увеличении уставного капитала Общества путем размещения дополнительных акций. </w:t>
            </w:r>
          </w:p>
          <w:p w:rsidR="005123CE" w:rsidRPr="005123CE" w:rsidRDefault="005123CE" w:rsidP="005123CE">
            <w:pPr>
              <w:autoSpaceDE w:val="0"/>
              <w:autoSpaceDN w:val="0"/>
              <w:adjustRightInd w:val="0"/>
              <w:jc w:val="both"/>
              <w:rPr>
                <w:rFonts w:eastAsiaTheme="minorHAnsi"/>
                <w:sz w:val="22"/>
                <w:szCs w:val="22"/>
              </w:rPr>
            </w:pPr>
            <w:r w:rsidRPr="005123CE">
              <w:rPr>
                <w:rFonts w:eastAsiaTheme="minorHAnsi"/>
                <w:sz w:val="22"/>
                <w:szCs w:val="22"/>
              </w:rPr>
              <w:t>27.03.2024 Банком России была осуществлена государственная регистрация дополнительного выпуска обыкновенных акций Общества номинальной стоимостью 0,10 рублей (Ноль рублей десять копеек) каждая в количестве 6 676 695 348 (Шесть миллиардов шестьсот семьдесят шесть миллионов шестьсот девяносто пять тысяч триста сорок восемь) штук, способ размещения ценных бумаг – закрытая подписка, регистрационный номер выпуска 1-01-16675-A-001D.</w:t>
            </w:r>
          </w:p>
          <w:p w:rsidR="005123CE" w:rsidRPr="005123CE" w:rsidRDefault="005123CE" w:rsidP="005123CE">
            <w:pPr>
              <w:autoSpaceDE w:val="0"/>
              <w:autoSpaceDN w:val="0"/>
              <w:adjustRightInd w:val="0"/>
              <w:jc w:val="both"/>
              <w:rPr>
                <w:rFonts w:eastAsiaTheme="minorHAnsi"/>
                <w:sz w:val="22"/>
                <w:szCs w:val="22"/>
              </w:rPr>
            </w:pPr>
            <w:r w:rsidRPr="005123CE">
              <w:rPr>
                <w:rFonts w:eastAsiaTheme="minorHAnsi"/>
                <w:sz w:val="22"/>
                <w:szCs w:val="22"/>
              </w:rPr>
              <w:t xml:space="preserve">В соответствии с решением Совета директоров от 28.02.2024 и зарегистрированным Документом, содержащим условия размещения ценных бумаг (далее – ДСУР), дополнительные акции размещаются путем закрытой подписки только среди всех акционеров с предоставлением указанным акционерам возможности приобретения целого числа размещаемых обыкновенных акций пропорционального количеству принадлежащих им обыкновенных акций. </w:t>
            </w:r>
          </w:p>
          <w:p w:rsidR="005123CE" w:rsidRPr="005123CE" w:rsidRDefault="005123CE" w:rsidP="005123CE">
            <w:pPr>
              <w:autoSpaceDE w:val="0"/>
              <w:autoSpaceDN w:val="0"/>
              <w:adjustRightInd w:val="0"/>
              <w:jc w:val="both"/>
              <w:rPr>
                <w:rFonts w:eastAsiaTheme="minorHAnsi"/>
                <w:sz w:val="22"/>
                <w:szCs w:val="22"/>
              </w:rPr>
            </w:pPr>
            <w:r w:rsidRPr="005123CE">
              <w:rPr>
                <w:rFonts w:eastAsiaTheme="minorHAnsi"/>
                <w:sz w:val="22"/>
                <w:szCs w:val="22"/>
              </w:rPr>
              <w:t xml:space="preserve">Дата, на которую составлен список акционеров, имеющих право приобретения размещаемых ценных бумаг: 28.02.2024 (дата принятия решения о размещении дополнительных акций). </w:t>
            </w:r>
          </w:p>
          <w:p w:rsidR="005123CE" w:rsidRPr="005123CE" w:rsidRDefault="005123CE" w:rsidP="005123CE">
            <w:pPr>
              <w:autoSpaceDE w:val="0"/>
              <w:autoSpaceDN w:val="0"/>
              <w:adjustRightInd w:val="0"/>
              <w:jc w:val="both"/>
              <w:rPr>
                <w:rFonts w:eastAsiaTheme="minorHAnsi"/>
                <w:sz w:val="22"/>
                <w:szCs w:val="22"/>
              </w:rPr>
            </w:pPr>
            <w:r w:rsidRPr="005123CE">
              <w:rPr>
                <w:rFonts w:eastAsiaTheme="minorHAnsi"/>
                <w:sz w:val="22"/>
                <w:szCs w:val="22"/>
              </w:rPr>
              <w:t xml:space="preserve">Цена размещения акций дополнительного выпуска: 0,50 рублей (Ноль рублей пятьдесят копеек) за одну обыкновенную акцию. </w:t>
            </w:r>
          </w:p>
          <w:p w:rsidR="005123CE" w:rsidRPr="005123CE" w:rsidRDefault="005123CE" w:rsidP="005123CE">
            <w:pPr>
              <w:autoSpaceDE w:val="0"/>
              <w:autoSpaceDN w:val="0"/>
              <w:adjustRightInd w:val="0"/>
              <w:jc w:val="both"/>
              <w:rPr>
                <w:rFonts w:eastAsiaTheme="minorHAnsi"/>
                <w:sz w:val="22"/>
                <w:szCs w:val="22"/>
              </w:rPr>
            </w:pPr>
            <w:r w:rsidRPr="005123CE">
              <w:rPr>
                <w:rFonts w:eastAsiaTheme="minorHAnsi"/>
                <w:sz w:val="22"/>
                <w:szCs w:val="22"/>
              </w:rPr>
              <w:t xml:space="preserve">Срок, в течение которого акционерам предоставляется возможность приобретения целого числа размещаемых акций, пропорционального количеству принадлежащих им обыкновенных акций: 45 (Сорок пять) дней с даты начала размещения ценных бумаг (с 24.05.2024 по 08.07.2024). </w:t>
            </w:r>
          </w:p>
          <w:p w:rsidR="005123CE" w:rsidRPr="005123CE" w:rsidRDefault="005123CE" w:rsidP="005123CE">
            <w:pPr>
              <w:autoSpaceDE w:val="0"/>
              <w:autoSpaceDN w:val="0"/>
              <w:adjustRightInd w:val="0"/>
              <w:jc w:val="both"/>
              <w:rPr>
                <w:rFonts w:eastAsiaTheme="minorHAnsi"/>
                <w:sz w:val="22"/>
                <w:szCs w:val="22"/>
              </w:rPr>
            </w:pPr>
            <w:r w:rsidRPr="005123CE">
              <w:rPr>
                <w:rFonts w:eastAsiaTheme="minorHAnsi"/>
                <w:sz w:val="22"/>
                <w:szCs w:val="22"/>
              </w:rPr>
              <w:t xml:space="preserve">На первом этапе размещения дополнительных акций каждый акционер Общества – владелец обыкновенных акций Общества имел возможность приобрести целое число размещаемых акций пропорционально количеству принадлежащих ему обыкновенных акций Общества на дату составления списка лиц, имеющих право на участие во внеочередном общем собрании акционеров (28.02.2024). </w:t>
            </w:r>
          </w:p>
          <w:p w:rsidR="005123CE" w:rsidRPr="005123CE" w:rsidRDefault="005123CE" w:rsidP="005123CE">
            <w:pPr>
              <w:autoSpaceDE w:val="0"/>
              <w:autoSpaceDN w:val="0"/>
              <w:adjustRightInd w:val="0"/>
              <w:jc w:val="both"/>
              <w:rPr>
                <w:rFonts w:eastAsiaTheme="minorHAnsi"/>
                <w:sz w:val="22"/>
                <w:szCs w:val="22"/>
              </w:rPr>
            </w:pPr>
            <w:r w:rsidRPr="005123CE">
              <w:rPr>
                <w:rFonts w:eastAsiaTheme="minorHAnsi"/>
                <w:sz w:val="22"/>
                <w:szCs w:val="22"/>
              </w:rPr>
              <w:t>По желанию акционера, он мог приобрести меньшее количество акций, чем количество дополнительных акций, пропорциональное количеству принадлежащих ему обыкновенных акций. Размещение ценных бумаг осуществлялось путем заключения договоров, направленных на размещение ценных бумаг их первым владельцам, и внесения в реестр владельцев ценных бумаг эмитента записей о переходе права собственности на размещаемые ценные бумаги. Ценные бумаги размещались при условии их полной оплаты.</w:t>
            </w:r>
          </w:p>
          <w:p w:rsidR="005123CE" w:rsidRPr="005123CE" w:rsidRDefault="005123CE" w:rsidP="005123CE">
            <w:pPr>
              <w:autoSpaceDE w:val="0"/>
              <w:autoSpaceDN w:val="0"/>
              <w:adjustRightInd w:val="0"/>
              <w:jc w:val="both"/>
              <w:rPr>
                <w:rFonts w:eastAsiaTheme="minorHAnsi"/>
                <w:sz w:val="22"/>
                <w:szCs w:val="22"/>
              </w:rPr>
            </w:pPr>
            <w:r w:rsidRPr="005123CE">
              <w:rPr>
                <w:rFonts w:eastAsiaTheme="minorHAnsi"/>
                <w:sz w:val="22"/>
                <w:szCs w:val="22"/>
              </w:rPr>
              <w:t>Итоги приобретения размещаемых ценных бумаг на первом этапе.</w:t>
            </w:r>
          </w:p>
          <w:p w:rsidR="005123CE" w:rsidRPr="005123CE" w:rsidRDefault="005123CE" w:rsidP="005123CE">
            <w:pPr>
              <w:autoSpaceDE w:val="0"/>
              <w:autoSpaceDN w:val="0"/>
              <w:adjustRightInd w:val="0"/>
              <w:jc w:val="both"/>
              <w:rPr>
                <w:rFonts w:eastAsiaTheme="minorHAnsi"/>
                <w:sz w:val="22"/>
                <w:szCs w:val="22"/>
              </w:rPr>
            </w:pPr>
            <w:r w:rsidRPr="005123CE">
              <w:rPr>
                <w:rFonts w:eastAsiaTheme="minorHAnsi"/>
                <w:sz w:val="22"/>
                <w:szCs w:val="22"/>
              </w:rPr>
              <w:lastRenderedPageBreak/>
              <w:t>Количество договоров, заключенных с акционерами, в рамках первого этапа размещения: 4 (Четыре) штуки.</w:t>
            </w:r>
          </w:p>
          <w:p w:rsidR="005123CE" w:rsidRPr="005123CE" w:rsidRDefault="005123CE" w:rsidP="005123CE">
            <w:pPr>
              <w:autoSpaceDE w:val="0"/>
              <w:autoSpaceDN w:val="0"/>
              <w:adjustRightInd w:val="0"/>
              <w:jc w:val="both"/>
              <w:rPr>
                <w:rFonts w:eastAsiaTheme="minorHAnsi"/>
                <w:sz w:val="22"/>
                <w:szCs w:val="22"/>
              </w:rPr>
            </w:pPr>
            <w:r w:rsidRPr="005123CE">
              <w:rPr>
                <w:rFonts w:eastAsiaTheme="minorHAnsi"/>
                <w:sz w:val="22"/>
                <w:szCs w:val="22"/>
              </w:rPr>
              <w:t>Количество владельцев обыкновенных акций, которые реализовали свое право приобретения ценных бумаг дополнительного выпуска на первом этапе: 3 (Три) акционера.</w:t>
            </w:r>
          </w:p>
          <w:p w:rsidR="005123CE" w:rsidRPr="005123CE" w:rsidRDefault="005123CE" w:rsidP="005123CE">
            <w:pPr>
              <w:autoSpaceDE w:val="0"/>
              <w:autoSpaceDN w:val="0"/>
              <w:adjustRightInd w:val="0"/>
              <w:jc w:val="both"/>
              <w:rPr>
                <w:rFonts w:eastAsiaTheme="minorHAnsi"/>
                <w:sz w:val="22"/>
                <w:szCs w:val="22"/>
              </w:rPr>
            </w:pPr>
            <w:r w:rsidRPr="005123CE">
              <w:rPr>
                <w:rFonts w:eastAsiaTheme="minorHAnsi"/>
                <w:sz w:val="22"/>
                <w:szCs w:val="22"/>
              </w:rPr>
              <w:t>Количество акций дополнительного выпуска, размещенных на первом этапе: 2 726 200 000 (Два миллиарда семьсот двадцать шесть миллионов двести тысяч) штук.</w:t>
            </w:r>
          </w:p>
          <w:p w:rsidR="005123CE" w:rsidRPr="005123CE" w:rsidRDefault="005123CE" w:rsidP="005123CE">
            <w:pPr>
              <w:autoSpaceDE w:val="0"/>
              <w:autoSpaceDN w:val="0"/>
              <w:adjustRightInd w:val="0"/>
              <w:jc w:val="both"/>
              <w:rPr>
                <w:rFonts w:eastAsiaTheme="minorHAnsi"/>
                <w:sz w:val="22"/>
                <w:szCs w:val="22"/>
              </w:rPr>
            </w:pPr>
            <w:r w:rsidRPr="005123CE">
              <w:rPr>
                <w:rFonts w:eastAsiaTheme="minorHAnsi"/>
                <w:sz w:val="22"/>
                <w:szCs w:val="22"/>
              </w:rPr>
              <w:t>Количество ценных бумаг дополнительного выпуска, подлежащее размещению на втором этапе: 3 950 495 348 (Три миллиарда девятьсот пятьдесят миллионов четыреста девяносто пять тысяч триста сорок восемь) штук.</w:t>
            </w:r>
          </w:p>
          <w:p w:rsidR="005123CE" w:rsidRPr="005123CE" w:rsidRDefault="005123CE" w:rsidP="005123CE">
            <w:pPr>
              <w:autoSpaceDE w:val="0"/>
              <w:autoSpaceDN w:val="0"/>
              <w:adjustRightInd w:val="0"/>
              <w:jc w:val="both"/>
              <w:rPr>
                <w:rFonts w:eastAsiaTheme="minorHAnsi"/>
                <w:sz w:val="22"/>
                <w:szCs w:val="22"/>
              </w:rPr>
            </w:pPr>
            <w:r w:rsidRPr="005123CE">
              <w:rPr>
                <w:rFonts w:eastAsiaTheme="minorHAnsi"/>
                <w:sz w:val="22"/>
                <w:szCs w:val="22"/>
              </w:rPr>
              <w:t>Неразмещенные на первом этапе ценные бумаги дополнительного выпуска подлежат размещению на втором этапе.</w:t>
            </w:r>
          </w:p>
          <w:p w:rsidR="005123CE" w:rsidRPr="005123CE" w:rsidRDefault="005123CE" w:rsidP="005123CE">
            <w:pPr>
              <w:autoSpaceDE w:val="0"/>
              <w:autoSpaceDN w:val="0"/>
              <w:adjustRightInd w:val="0"/>
              <w:jc w:val="both"/>
              <w:rPr>
                <w:rFonts w:eastAsiaTheme="minorHAnsi"/>
                <w:sz w:val="22"/>
                <w:szCs w:val="22"/>
              </w:rPr>
            </w:pPr>
            <w:r w:rsidRPr="005123CE">
              <w:rPr>
                <w:rFonts w:eastAsiaTheme="minorHAnsi"/>
                <w:sz w:val="22"/>
                <w:szCs w:val="22"/>
              </w:rPr>
              <w:t>На втором этапе целое число акций дополнительного выпуска, оставшихся неразмещенными в ходе первого этапа приобретения, вправе приобрести владельцы обыкновенных акций Общества на дату принятия Советом директоров решения о размещении дополнительных ценных бумаг - 28.02.2024г.</w:t>
            </w:r>
          </w:p>
          <w:p w:rsidR="005123CE" w:rsidRPr="005123CE" w:rsidRDefault="005123CE" w:rsidP="005123CE">
            <w:pPr>
              <w:autoSpaceDE w:val="0"/>
              <w:autoSpaceDN w:val="0"/>
              <w:adjustRightInd w:val="0"/>
              <w:jc w:val="both"/>
              <w:rPr>
                <w:rFonts w:eastAsiaTheme="minorHAnsi"/>
                <w:sz w:val="22"/>
                <w:szCs w:val="22"/>
              </w:rPr>
            </w:pPr>
            <w:r w:rsidRPr="005123CE">
              <w:rPr>
                <w:rFonts w:eastAsiaTheme="minorHAnsi"/>
                <w:sz w:val="22"/>
                <w:szCs w:val="22"/>
              </w:rPr>
              <w:t>Датой окончания размещения ценных бумаг на втором этапе является день внесения в реестр владельцев ценных бумаг эмитента записи о размещении последней ценной бумаги дополнительного выпуска или 10 (Десятый) рабочий день после подведения итогов первого этапа, в зависимости от того, какая дата наступит раньше.</w:t>
            </w:r>
          </w:p>
          <w:p w:rsidR="00F03EBC" w:rsidRPr="00F03EBC" w:rsidRDefault="005123CE" w:rsidP="005123CE">
            <w:pPr>
              <w:autoSpaceDE w:val="0"/>
              <w:autoSpaceDN w:val="0"/>
              <w:adjustRightInd w:val="0"/>
              <w:jc w:val="both"/>
              <w:rPr>
                <w:rFonts w:eastAsiaTheme="minorHAnsi"/>
                <w:sz w:val="22"/>
                <w:szCs w:val="22"/>
                <w:highlight w:val="yellow"/>
              </w:rPr>
            </w:pPr>
            <w:r w:rsidRPr="005123CE">
              <w:rPr>
                <w:rFonts w:eastAsiaTheme="minorHAnsi"/>
                <w:sz w:val="22"/>
                <w:szCs w:val="22"/>
              </w:rPr>
              <w:t>Дата утверждения Отчета об итогах размещения ценных бумаг на первом этапе и о количестве неразмещенных ценных бумаг, подлежащих размещению на втором этапе: 09.07.2024.</w:t>
            </w:r>
          </w:p>
        </w:tc>
      </w:tr>
    </w:tbl>
    <w:p w:rsidR="00F03EBC" w:rsidRPr="00F03EBC" w:rsidRDefault="00F03EBC" w:rsidP="00F03EBC">
      <w:pPr>
        <w:pStyle w:val="prilozhenie"/>
        <w:rPr>
          <w:sz w:val="22"/>
          <w:szCs w:val="22"/>
        </w:rPr>
      </w:pPr>
    </w:p>
    <w:tbl>
      <w:tblPr>
        <w:tblW w:w="0" w:type="auto"/>
        <w:tblLook w:val="00A0" w:firstRow="1" w:lastRow="0" w:firstColumn="1" w:lastColumn="0" w:noHBand="0" w:noVBand="0"/>
      </w:tblPr>
      <w:tblGrid>
        <w:gridCol w:w="9345"/>
      </w:tblGrid>
      <w:tr w:rsidR="00F03EBC" w:rsidRPr="00F03EBC" w:rsidTr="00AE1890">
        <w:tc>
          <w:tcPr>
            <w:tcW w:w="9571" w:type="dxa"/>
            <w:tcBorders>
              <w:top w:val="single" w:sz="4" w:space="0" w:color="auto"/>
              <w:left w:val="single" w:sz="4" w:space="0" w:color="auto"/>
              <w:bottom w:val="single" w:sz="4" w:space="0" w:color="auto"/>
              <w:right w:val="single" w:sz="4" w:space="0" w:color="auto"/>
            </w:tcBorders>
          </w:tcPr>
          <w:p w:rsidR="00F03EBC" w:rsidRPr="00F03EBC" w:rsidRDefault="00F03EBC" w:rsidP="00AE1890">
            <w:pPr>
              <w:pStyle w:val="prilozhenie"/>
              <w:ind w:firstLine="0"/>
              <w:jc w:val="center"/>
              <w:rPr>
                <w:sz w:val="22"/>
                <w:szCs w:val="22"/>
              </w:rPr>
            </w:pPr>
            <w:r w:rsidRPr="00F03EBC">
              <w:rPr>
                <w:sz w:val="22"/>
                <w:szCs w:val="22"/>
              </w:rPr>
              <w:t>3. Подпись</w:t>
            </w:r>
          </w:p>
        </w:tc>
      </w:tr>
      <w:tr w:rsidR="00F03EBC" w:rsidRPr="00A048AF" w:rsidTr="00AE1890">
        <w:tc>
          <w:tcPr>
            <w:tcW w:w="9571" w:type="dxa"/>
            <w:tcBorders>
              <w:top w:val="single" w:sz="4" w:space="0" w:color="auto"/>
              <w:left w:val="single" w:sz="4" w:space="0" w:color="auto"/>
              <w:bottom w:val="single" w:sz="4" w:space="0" w:color="auto"/>
              <w:right w:val="single" w:sz="4" w:space="0" w:color="auto"/>
            </w:tcBorders>
          </w:tcPr>
          <w:p w:rsidR="00F03EBC" w:rsidRPr="00F03EBC" w:rsidRDefault="00F03EBC" w:rsidP="00AE1890">
            <w:pPr>
              <w:pStyle w:val="prilozhenie"/>
              <w:ind w:firstLine="0"/>
              <w:rPr>
                <w:sz w:val="22"/>
                <w:szCs w:val="22"/>
              </w:rPr>
            </w:pPr>
            <w:r w:rsidRPr="00F03EBC">
              <w:rPr>
                <w:sz w:val="22"/>
                <w:szCs w:val="22"/>
              </w:rPr>
              <w:t xml:space="preserve">3.1. Генеральный директор </w:t>
            </w:r>
          </w:p>
          <w:p w:rsidR="00F03EBC" w:rsidRPr="00F03EBC" w:rsidRDefault="00F03EBC" w:rsidP="00AE1890">
            <w:pPr>
              <w:pStyle w:val="prilozhenie"/>
              <w:ind w:firstLine="0"/>
              <w:rPr>
                <w:sz w:val="22"/>
                <w:szCs w:val="22"/>
              </w:rPr>
            </w:pPr>
            <w:r w:rsidRPr="00F03EBC">
              <w:rPr>
                <w:sz w:val="22"/>
                <w:szCs w:val="22"/>
              </w:rPr>
              <w:t>АО «</w:t>
            </w:r>
            <w:proofErr w:type="spellStart"/>
            <w:r w:rsidRPr="00F03EBC">
              <w:rPr>
                <w:sz w:val="22"/>
                <w:szCs w:val="22"/>
              </w:rPr>
              <w:t>Трежери</w:t>
            </w:r>
            <w:proofErr w:type="spellEnd"/>
            <w:r w:rsidRPr="00F03EBC">
              <w:rPr>
                <w:sz w:val="22"/>
                <w:szCs w:val="22"/>
              </w:rPr>
              <w:t xml:space="preserve"> </w:t>
            </w:r>
            <w:proofErr w:type="gramStart"/>
            <w:r w:rsidRPr="00F03EBC">
              <w:rPr>
                <w:sz w:val="22"/>
                <w:szCs w:val="22"/>
              </w:rPr>
              <w:t xml:space="preserve">Инвест»   </w:t>
            </w:r>
            <w:proofErr w:type="gramEnd"/>
            <w:r w:rsidRPr="00F03EBC">
              <w:rPr>
                <w:sz w:val="22"/>
                <w:szCs w:val="22"/>
              </w:rPr>
              <w:t xml:space="preserve">                                    ______________                        Р.В. </w:t>
            </w:r>
            <w:proofErr w:type="spellStart"/>
            <w:r w:rsidRPr="00F03EBC">
              <w:rPr>
                <w:sz w:val="22"/>
                <w:szCs w:val="22"/>
              </w:rPr>
              <w:t>Шуков</w:t>
            </w:r>
            <w:proofErr w:type="spellEnd"/>
          </w:p>
          <w:p w:rsidR="00F03EBC" w:rsidRPr="00F03EBC" w:rsidRDefault="00F03EBC" w:rsidP="00AE1890">
            <w:pPr>
              <w:pStyle w:val="prilozhenie"/>
              <w:ind w:firstLine="0"/>
              <w:rPr>
                <w:sz w:val="22"/>
                <w:szCs w:val="22"/>
              </w:rPr>
            </w:pPr>
          </w:p>
          <w:p w:rsidR="00F03EBC" w:rsidRPr="00A048AF" w:rsidRDefault="00F03EBC" w:rsidP="00AE1890">
            <w:pPr>
              <w:pStyle w:val="prilozhenie"/>
              <w:ind w:firstLine="0"/>
              <w:jc w:val="left"/>
              <w:rPr>
                <w:sz w:val="22"/>
                <w:szCs w:val="22"/>
              </w:rPr>
            </w:pPr>
            <w:r w:rsidRPr="00F03EBC">
              <w:rPr>
                <w:sz w:val="22"/>
                <w:szCs w:val="22"/>
              </w:rPr>
              <w:t>3.2. «</w:t>
            </w:r>
            <w:r w:rsidR="005123CE">
              <w:rPr>
                <w:sz w:val="22"/>
                <w:szCs w:val="22"/>
              </w:rPr>
              <w:t>9</w:t>
            </w:r>
            <w:bookmarkStart w:id="0" w:name="_GoBack"/>
            <w:bookmarkEnd w:id="0"/>
            <w:r w:rsidRPr="00F03EBC">
              <w:rPr>
                <w:sz w:val="22"/>
                <w:szCs w:val="22"/>
              </w:rPr>
              <w:t>» июля 2024г.                                                М.П.</w:t>
            </w:r>
          </w:p>
        </w:tc>
      </w:tr>
    </w:tbl>
    <w:p w:rsidR="00F03EBC" w:rsidRDefault="00F03EBC" w:rsidP="00F03EBC"/>
    <w:p w:rsidR="00F03EBC" w:rsidRDefault="00F03EBC" w:rsidP="00F03EBC"/>
    <w:p w:rsidR="00F03EBC" w:rsidRDefault="00F03EBC" w:rsidP="00F03EBC"/>
    <w:p w:rsidR="00F03EBC" w:rsidRDefault="00F03EBC" w:rsidP="00F03EBC"/>
    <w:p w:rsidR="00F03EBC" w:rsidRDefault="00F03EBC" w:rsidP="00F03EBC"/>
    <w:p w:rsidR="00F03EBC" w:rsidRDefault="00F03EBC" w:rsidP="00F03EBC"/>
    <w:p w:rsidR="00F03EBC" w:rsidRDefault="00F03EBC" w:rsidP="00F03EBC"/>
    <w:p w:rsidR="00F03EBC" w:rsidRDefault="00F03EBC" w:rsidP="00F03EBC"/>
    <w:p w:rsidR="00F03EBC" w:rsidRDefault="00F03EBC" w:rsidP="00F03EBC"/>
    <w:p w:rsidR="00F03EBC" w:rsidRDefault="00F03EBC" w:rsidP="00F03EBC"/>
    <w:p w:rsidR="00F03EBC" w:rsidRDefault="00F03EBC" w:rsidP="00F03EBC"/>
    <w:p w:rsidR="00F03EBC" w:rsidRDefault="00F03EBC" w:rsidP="00F03EBC"/>
    <w:p w:rsidR="00F03EBC" w:rsidRDefault="00F03EBC" w:rsidP="00F03EBC"/>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BC"/>
    <w:rsid w:val="000D6019"/>
    <w:rsid w:val="005123CE"/>
    <w:rsid w:val="00891857"/>
    <w:rsid w:val="0093544A"/>
    <w:rsid w:val="00F03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59BF"/>
  <w15:chartTrackingRefBased/>
  <w15:docId w15:val="{230574F9-E8BA-4860-B9C9-466394810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3EBC"/>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F03EBC"/>
    <w:pPr>
      <w:ind w:firstLine="709"/>
      <w:jc w:val="both"/>
    </w:pPr>
    <w:rPr>
      <w:sz w:val="24"/>
      <w:szCs w:val="24"/>
    </w:rPr>
  </w:style>
  <w:style w:type="character" w:styleId="a3">
    <w:name w:val="Hyperlink"/>
    <w:uiPriority w:val="99"/>
    <w:rsid w:val="00F03EBC"/>
    <w:rPr>
      <w:color w:val="0000FF"/>
      <w:u w:val="single"/>
    </w:rPr>
  </w:style>
  <w:style w:type="table" w:styleId="a4">
    <w:name w:val="Table Grid"/>
    <w:basedOn w:val="a1"/>
    <w:rsid w:val="00F03E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4458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2</cp:revision>
  <dcterms:created xsi:type="dcterms:W3CDTF">2024-07-09T16:10:00Z</dcterms:created>
  <dcterms:modified xsi:type="dcterms:W3CDTF">2024-07-09T16:10:00Z</dcterms:modified>
</cp:coreProperties>
</file>