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99" w:rsidRPr="00EE5299" w:rsidRDefault="00EE5299" w:rsidP="00EE5299">
      <w:pPr>
        <w:jc w:val="center"/>
        <w:rPr>
          <w:b/>
          <w:bCs/>
          <w:sz w:val="23"/>
          <w:szCs w:val="23"/>
        </w:rPr>
      </w:pPr>
      <w:r w:rsidRPr="00EE5299">
        <w:rPr>
          <w:b/>
          <w:bCs/>
          <w:sz w:val="23"/>
          <w:szCs w:val="23"/>
        </w:rPr>
        <w:t xml:space="preserve">Сообщение о существенном факте </w:t>
      </w:r>
      <w:r w:rsidRPr="00EE5299">
        <w:rPr>
          <w:b/>
          <w:bCs/>
          <w:sz w:val="23"/>
          <w:szCs w:val="23"/>
        </w:rPr>
        <w:t>о принятии решения о размещении ценных бумаг</w:t>
      </w:r>
    </w:p>
    <w:p w:rsidR="00EE5299" w:rsidRPr="00EE5299" w:rsidRDefault="00EE5299" w:rsidP="00EE5299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E5299" w:rsidRPr="00EE5299" w:rsidTr="007D4AA8">
        <w:trPr>
          <w:trHeight w:val="345"/>
          <w:jc w:val="center"/>
        </w:trPr>
        <w:tc>
          <w:tcPr>
            <w:tcW w:w="9648" w:type="dxa"/>
          </w:tcPr>
          <w:p w:rsidR="00EE5299" w:rsidRPr="00EE5299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E5299" w:rsidRPr="00EE5299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E529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E529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E5299" w:rsidRPr="00EE5299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E5299" w:rsidRPr="00EE5299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E5299" w:rsidRPr="00EE5299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E5299" w:rsidRPr="00EE5299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E5299" w:rsidRPr="00EE5299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EE529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EE5299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EE5299">
              <w:t xml:space="preserve"> </w:t>
            </w:r>
            <w:r w:rsidRPr="00EE529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E5299" w:rsidRPr="00EE5299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r w:rsidRPr="00EE529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E5299">
              <w:rPr>
                <w:b/>
                <w:i/>
                <w:sz w:val="22"/>
                <w:szCs w:val="22"/>
              </w:rPr>
              <w:t>2 февраля 2024 г.</w:t>
            </w:r>
          </w:p>
        </w:tc>
      </w:tr>
    </w:tbl>
    <w:p w:rsidR="00EE5299" w:rsidRPr="00EE5299" w:rsidRDefault="00EE5299" w:rsidP="00EE52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EE5299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>2. Содержание сообщения</w:t>
            </w:r>
          </w:p>
        </w:tc>
      </w:tr>
      <w:tr w:rsidR="00EE5299" w:rsidRPr="00EE5299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E5299">
              <w:rPr>
                <w:rFonts w:eastAsiaTheme="minorHAnsi"/>
                <w:sz w:val="22"/>
                <w:szCs w:val="22"/>
              </w:rPr>
              <w:t xml:space="preserve">2.1. </w:t>
            </w:r>
            <w:r w:rsidR="00BA6F57">
              <w:rPr>
                <w:rFonts w:eastAsiaTheme="minorHAnsi"/>
                <w:sz w:val="22"/>
                <w:szCs w:val="22"/>
              </w:rPr>
              <w:t>О</w:t>
            </w:r>
            <w:r w:rsidRPr="00EE5299">
              <w:rPr>
                <w:rFonts w:eastAsiaTheme="minorHAnsi"/>
                <w:sz w:val="22"/>
                <w:szCs w:val="22"/>
              </w:rPr>
              <w:t>рган управления эмитента, принявший решение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BA6F57">
              <w:rPr>
                <w:rFonts w:eastAsiaTheme="minorHAnsi"/>
                <w:sz w:val="22"/>
                <w:szCs w:val="22"/>
              </w:rPr>
              <w:t xml:space="preserve"> </w:t>
            </w:r>
            <w:r w:rsidR="00BA6F57" w:rsidRPr="00BA6F57">
              <w:rPr>
                <w:rFonts w:eastAsiaTheme="minorHAnsi"/>
                <w:b/>
                <w:i/>
                <w:sz w:val="22"/>
                <w:szCs w:val="22"/>
              </w:rPr>
              <w:t>Совет директоров АО «</w:t>
            </w:r>
            <w:proofErr w:type="spellStart"/>
            <w:r w:rsidR="00BA6F57" w:rsidRPr="00BA6F5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BA6F57" w:rsidRPr="00BA6F57">
              <w:rPr>
                <w:rFonts w:eastAsiaTheme="minorHAnsi"/>
                <w:b/>
                <w:i/>
                <w:sz w:val="22"/>
                <w:szCs w:val="22"/>
              </w:rPr>
              <w:t xml:space="preserve"> Инвест»</w:t>
            </w:r>
            <w:r w:rsidRPr="00BA6F5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В</w:t>
            </w:r>
            <w:r w:rsidRPr="00EE5299">
              <w:rPr>
                <w:rFonts w:eastAsiaTheme="minorHAnsi"/>
                <w:sz w:val="22"/>
                <w:szCs w:val="22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BA6F57">
              <w:rPr>
                <w:rFonts w:eastAsiaTheme="minorHAnsi"/>
                <w:sz w:val="22"/>
                <w:szCs w:val="22"/>
              </w:rPr>
              <w:t xml:space="preserve"> </w:t>
            </w:r>
            <w:r w:rsidR="00BA6F57" w:rsidRPr="00BA6F57"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EE5299">
              <w:rPr>
                <w:rFonts w:eastAsiaTheme="minorHAnsi"/>
                <w:sz w:val="22"/>
                <w:szCs w:val="22"/>
              </w:rPr>
              <w:t>ата принятия уполномоченным органом управления эмитента решения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BA6F57" w:rsidRPr="00EE5299">
              <w:rPr>
                <w:rFonts w:eastAsiaTheme="minorHAnsi"/>
                <w:b/>
                <w:i/>
                <w:sz w:val="22"/>
                <w:szCs w:val="22"/>
              </w:rPr>
              <w:t>02 февраля 2024 г.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Д</w:t>
            </w:r>
            <w:r w:rsidRPr="00EE5299">
              <w:rPr>
                <w:rFonts w:eastAsiaTheme="minorHAnsi"/>
                <w:sz w:val="22"/>
                <w:szCs w:val="22"/>
              </w:rPr>
              <w:t>ата и место проведения собрания (заседания) уполномоченного органа управления эмитента, на котором принято решение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02 февраля 2024 г.</w:t>
            </w:r>
            <w:r>
              <w:rPr>
                <w:b/>
                <w:i/>
              </w:rPr>
              <w:t xml:space="preserve">,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I, комната 13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 w:rsidRPr="00EE5299">
              <w:rPr>
                <w:rFonts w:eastAsiaTheme="minorHAnsi"/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02.02.2024г. № 16 СД/2024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С</w:t>
            </w:r>
            <w:r w:rsidRPr="00EE5299">
              <w:rPr>
                <w:rFonts w:eastAsiaTheme="minorHAnsi"/>
                <w:sz w:val="22"/>
                <w:szCs w:val="22"/>
              </w:rPr>
              <w:t>ведения о наличии кворума и о результатах голосования по вопросу о принятии решения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о принятии решения о размещении ценных бумаг: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РЕШЕНИЕ ПРИНЯТО;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П</w:t>
            </w:r>
            <w:r w:rsidRPr="00EE5299">
              <w:rPr>
                <w:rFonts w:eastAsiaTheme="minorHAnsi"/>
                <w:sz w:val="22"/>
                <w:szCs w:val="22"/>
              </w:rPr>
              <w:t>олная формулировка принятого решения о размещении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Увеличить уставный капитал АО «</w:t>
            </w:r>
            <w:proofErr w:type="spellStart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667 669 534,80 (Шестьсот шестьдесят семь миллионов шестьсот шестьдесят девять тысяч пятьсот тридцать четыре) рубля 80 копеек путем размещения дополнительных обыкновенных акций (в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пределах количества объявленных обыкновенных акций) в количестве 6 676 695 348 (Шесть миллиардов шестьсот семьдесят шесть миллионов шестьсот девяносто пять тысяч триста сорок восемь) штук номинальной стоимостью 0,10 рублей (Ноль рублей десять копеек) каждая.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Способ размещения: закрытая подписка.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Цена размещения дополнительных акций будет определена Советом директоров эмитента в соответствии со статьями 36 и 77 Федерального закона от 26.12.1995 № 208-ФЗ «Об акционерных обществах» и не позднее начала размещения акций.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Круг лиц, среди которых предполагается осуществить размещение: все акционеры - владельцы обыкновенных акций Общества, на дату принятия Советом директоров решения о размещении дополнительных ценных бумаг - 02.02.2024г. При этом акционеры - владельцы обыкновенных акций Общества имеют возможность приобрести целое число размещаемых обыкновенных акций пропорционально количеству принадлежащих им обыкновенных акций.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Размещение дополнительных обыкновенных акций Общества осуществляется в два этапа. 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На первом этапе размещения дополнительных акций каждый акционер Общества – владелец обыкновенных акций Общества имеет возможность приобрести целое число размещаемых акций пропорционально количеству принадлежащих ему обыкновенных акций Общества на дату принятия Советом директоров решения о размещении дополнительных ценных бумаг (02.02.2024г.). По желанию акционера, он может приобрести меньшее количество акций, чем количество дополнительных акций, пропорциональное количеству принадлежащих ему обыкновенных акций.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Максимальное количество дополнительных акций, которое может быть приобретено акционером – владельцем обыкновенных акций Общества, определяется по формуле: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Х = А * K, где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Х – максимальное количество дополнительных акций, которое может быть приобретено акционером – владельцем обыкновенных акций Общества, штук;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А – количество обыкновенных акций эмитента, принадлежащих акционеру – владельцу обыкновенных акций Общества на дату принятия Советом директоров решения о размещении дополнительных ценных бумаг (02.02.2024г.), штук.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K = 6 676 695 348 / 1 669 173 837, где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6 676 695 348 – количество размещаемых дополнительных обыкновенных акций;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1 669 173 837 – количество размещенных обыкновенных акций Общества.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При определении количества размещаемых дополнительных акций, которое может быть приобретено акционером – владельцем обыкновенных акций Общества, дробные акции не образуются.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В случае, если на первом этапе размещения в течение 15 (Пятнадцати) рабочих с даты начала размещения дополнительных обыкновенных акций по закрытой подписке кто-либо из акционеров – владельцев обыкновенных акций Общества не воспользуется возможностью (откажется от приобретения) причитающихся ему размещаемых обыкновенных акций или воспользуется возможностью приобретения целого числа дополнительных обыкновенных акций не в полном объеме, то оставшееся количество неразмещенных на первом этапе обыкновенных акций подлежит размещению на втором этапе.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На втором этапе размещения, оставшиеся неразмещенными дополнительные обыкновенные акции, размещаются акционерам, подавшим заявку на приобретение акции, в течение 10 (Десяти) рабочих дней после подведения итогов первого этапа.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Форма оплаты дополнительных обыкновенных акций: дополнительные обыкновенные акции оплачиваются денежными средствами в валюте Российской Федерации в безналичном порядке, и/или путем зачета денежных требований к акционерному обществу (эмитенту).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Дополнительные обыкновенные акции при их приобретении оплачиваются полностью.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Возможность рассрочки при оплате ценных бумаг выпуска не предусмотрена.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Неденежная форма оплаты не предусмотрена.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Оплату расходов, связанных с внесением приходных записей о зачислении размещаемых ценных бумаг на лицевые счета (счета депо) их первых владельцев (приобретателей), несет эмитент ценных бумаг.</w:t>
            </w: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Все дополнительные обыкновенные акции АО «</w:t>
            </w:r>
            <w:proofErr w:type="spellStart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E5299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размещаются при условии их полной оплаты.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В</w:t>
            </w:r>
            <w:r w:rsidRPr="00EE5299">
              <w:rPr>
                <w:rFonts w:eastAsiaTheme="minorHAnsi"/>
                <w:sz w:val="22"/>
                <w:szCs w:val="22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при размещении ценных бумаг преимущественное право приобретения ценных бумаг, предусмотренное статьями 40, 41 Федерального закона от 26.12.1995 №208-ФЗ «Об акционерных обществах», не предоставляется.</w:t>
            </w:r>
          </w:p>
          <w:p w:rsidR="00D544AD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EE5299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bookmarkStart w:id="0" w:name="_GoBack"/>
            <w:bookmarkEnd w:id="0"/>
            <w:r>
              <w:rPr>
                <w:rFonts w:eastAsiaTheme="minorHAnsi"/>
                <w:sz w:val="22"/>
                <w:szCs w:val="22"/>
              </w:rPr>
              <w:t>2.9. С</w:t>
            </w:r>
            <w:r w:rsidRPr="00EE5299">
              <w:rPr>
                <w:rFonts w:eastAsiaTheme="minorHAnsi"/>
                <w:sz w:val="22"/>
                <w:szCs w:val="22"/>
              </w:rPr>
              <w:t>ведения о намерении эмитента осуществлять в ходе эмиссии ценных бумаг регистрацию проспекта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EE5299">
              <w:rPr>
                <w:rFonts w:eastAsiaTheme="minorHAnsi"/>
                <w:b/>
                <w:i/>
                <w:sz w:val="22"/>
                <w:szCs w:val="22"/>
              </w:rPr>
              <w:t>у эмитента отсутствует намерение осуществлять регистрацию проспекта ценных бумаг в ходе эмиссии.</w:t>
            </w:r>
          </w:p>
        </w:tc>
      </w:tr>
    </w:tbl>
    <w:p w:rsidR="00EE5299" w:rsidRPr="00EE5299" w:rsidRDefault="00EE5299" w:rsidP="00EE5299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EE5299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>3. Подпись</w:t>
            </w:r>
          </w:p>
        </w:tc>
      </w:tr>
      <w:tr w:rsidR="00EE5299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EE5299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 xml:space="preserve">3.1. Генеральный директор </w:t>
            </w:r>
          </w:p>
          <w:p w:rsidR="00EE5299" w:rsidRPr="00EE5299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>АО «</w:t>
            </w:r>
            <w:proofErr w:type="spellStart"/>
            <w:r w:rsidRPr="00EE5299">
              <w:rPr>
                <w:sz w:val="22"/>
                <w:szCs w:val="22"/>
              </w:rPr>
              <w:t>Трежери</w:t>
            </w:r>
            <w:proofErr w:type="spellEnd"/>
            <w:r w:rsidRPr="00EE5299">
              <w:rPr>
                <w:sz w:val="22"/>
                <w:szCs w:val="22"/>
              </w:rPr>
              <w:t xml:space="preserve"> </w:t>
            </w:r>
            <w:proofErr w:type="gramStart"/>
            <w:r w:rsidRPr="00EE5299">
              <w:rPr>
                <w:sz w:val="22"/>
                <w:szCs w:val="22"/>
              </w:rPr>
              <w:t xml:space="preserve">Инвест»   </w:t>
            </w:r>
            <w:proofErr w:type="gramEnd"/>
            <w:r w:rsidRPr="00EE5299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EE5299">
              <w:rPr>
                <w:sz w:val="22"/>
                <w:szCs w:val="22"/>
              </w:rPr>
              <w:t>Шуков</w:t>
            </w:r>
            <w:proofErr w:type="spellEnd"/>
          </w:p>
          <w:p w:rsidR="00EE5299" w:rsidRPr="00EE5299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E5299" w:rsidRPr="00A048AF" w:rsidRDefault="00EE5299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EE5299">
              <w:rPr>
                <w:sz w:val="22"/>
                <w:szCs w:val="22"/>
              </w:rPr>
              <w:t>3.2. «2» февраля 2024г.                                                М.П.</w:t>
            </w:r>
          </w:p>
        </w:tc>
      </w:tr>
    </w:tbl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Pr="00AE7FA0" w:rsidRDefault="00EE5299" w:rsidP="00EE5299"/>
    <w:p w:rsidR="00EE5299" w:rsidRDefault="00EE5299" w:rsidP="00EE5299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9"/>
    <w:rsid w:val="006F1FD8"/>
    <w:rsid w:val="00BA6F57"/>
    <w:rsid w:val="00D544AD"/>
    <w:rsid w:val="00E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0D3D"/>
  <w15:chartTrackingRefBased/>
  <w15:docId w15:val="{E81A387F-F838-4DED-907C-F28A1F7E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E529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E5299"/>
    <w:rPr>
      <w:color w:val="0000FF"/>
      <w:u w:val="single"/>
    </w:rPr>
  </w:style>
  <w:style w:type="table" w:styleId="a4">
    <w:name w:val="Table Grid"/>
    <w:basedOn w:val="a1"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2024-02-02T14:11:00Z</dcterms:created>
  <dcterms:modified xsi:type="dcterms:W3CDTF">2024-02-02T14:27:00Z</dcterms:modified>
</cp:coreProperties>
</file>